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6A3B1">
      <w:pPr>
        <w:spacing w:before="217" w:line="187" w:lineRule="auto"/>
        <w:ind w:left="1901"/>
        <w:outlineLvl w:val="0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color w:val="201F1F"/>
          <w:sz w:val="32"/>
          <w:szCs w:val="32"/>
        </w:rPr>
        <w:t>Declaration of Conformity (D</w:t>
      </w:r>
      <w:r>
        <w:rPr>
          <w:rFonts w:ascii="Times New Roman" w:hAnsi="Times New Roman" w:eastAsia="Times New Roman" w:cs="Times New Roman"/>
          <w:b/>
          <w:bCs/>
          <w:color w:val="201F1F"/>
          <w:spacing w:val="-1"/>
          <w:sz w:val="32"/>
          <w:szCs w:val="32"/>
        </w:rPr>
        <w:t>oC)</w:t>
      </w:r>
    </w:p>
    <w:p w14:paraId="1EA484B3">
      <w:pPr>
        <w:pStyle w:val="2"/>
        <w:spacing w:line="461" w:lineRule="auto"/>
        <w:rPr>
          <w:sz w:val="21"/>
        </w:rPr>
      </w:pPr>
    </w:p>
    <w:p w14:paraId="1F5D3103">
      <w:pPr>
        <w:pStyle w:val="2"/>
        <w:spacing w:before="57" w:line="201" w:lineRule="auto"/>
        <w:ind w:left="16"/>
        <w:rPr>
          <w:sz w:val="18"/>
          <w:szCs w:val="18"/>
        </w:rPr>
      </w:pPr>
      <w:r>
        <w:rPr>
          <w:color w:val="201F1F"/>
          <w:spacing w:val="-2"/>
          <w:sz w:val="20"/>
          <w:szCs w:val="20"/>
        </w:rPr>
        <w:t xml:space="preserve">We, </w:t>
      </w:r>
      <w:r>
        <w:rPr>
          <w:spacing w:val="-2"/>
          <w:sz w:val="18"/>
          <w:szCs w:val="18"/>
        </w:rPr>
        <w:t>Shenzhen</w:t>
      </w:r>
      <w:r>
        <w:rPr>
          <w:spacing w:val="15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Hao</w:t>
      </w:r>
      <w:r>
        <w:rPr>
          <w:spacing w:val="12"/>
          <w:w w:val="101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Mai Ton</w:t>
      </w:r>
      <w:r>
        <w:rPr>
          <w:spacing w:val="-3"/>
          <w:sz w:val="18"/>
          <w:szCs w:val="18"/>
        </w:rPr>
        <w:t>gda Technology Co.,</w:t>
      </w:r>
      <w:r>
        <w:rPr>
          <w:spacing w:val="1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LTD</w:t>
      </w:r>
    </w:p>
    <w:p w14:paraId="55595C45">
      <w:pPr>
        <w:spacing w:before="109" w:line="272" w:lineRule="auto"/>
        <w:ind w:left="21" w:firstLine="10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2"/>
          <w:sz w:val="21"/>
          <w:szCs w:val="21"/>
        </w:rPr>
        <w:t>Room703,Building</w:t>
      </w:r>
      <w:r>
        <w:rPr>
          <w:rFonts w:ascii="Calibri" w:hAnsi="Calibri" w:eastAsia="Calibri" w:cs="Calibri"/>
          <w:spacing w:val="22"/>
          <w:w w:val="10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sz w:val="21"/>
          <w:szCs w:val="21"/>
        </w:rPr>
        <w:t>F,</w:t>
      </w:r>
      <w:r>
        <w:rPr>
          <w:rFonts w:ascii="Calibri" w:hAnsi="Calibri" w:eastAsia="Calibri" w:cs="Calibri"/>
          <w:spacing w:val="15"/>
          <w:w w:val="10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sz w:val="21"/>
          <w:szCs w:val="21"/>
        </w:rPr>
        <w:t>Qihang</w:t>
      </w:r>
      <w:r>
        <w:rPr>
          <w:rFonts w:ascii="Calibri" w:hAnsi="Calibri" w:eastAsia="Calibri" w:cs="Calibri"/>
          <w:spacing w:val="23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sz w:val="21"/>
          <w:szCs w:val="21"/>
        </w:rPr>
        <w:t>R&amp;D</w:t>
      </w:r>
      <w:r>
        <w:rPr>
          <w:rFonts w:ascii="Calibri" w:hAnsi="Calibri" w:eastAsia="Calibri" w:cs="Calibri"/>
          <w:spacing w:val="22"/>
          <w:w w:val="10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sz w:val="21"/>
          <w:szCs w:val="21"/>
        </w:rPr>
        <w:t>Industrial</w:t>
      </w:r>
      <w:r>
        <w:rPr>
          <w:rFonts w:ascii="Calibri" w:hAnsi="Calibri" w:eastAsia="Calibri" w:cs="Calibri"/>
          <w:spacing w:val="22"/>
          <w:w w:val="10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sz w:val="21"/>
          <w:szCs w:val="21"/>
        </w:rPr>
        <w:t>Park,</w:t>
      </w:r>
      <w:r>
        <w:rPr>
          <w:rFonts w:ascii="Calibri" w:hAnsi="Calibri" w:eastAsia="Calibri" w:cs="Calibri"/>
          <w:spacing w:val="23"/>
          <w:w w:val="10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2"/>
          <w:sz w:val="21"/>
          <w:szCs w:val="21"/>
        </w:rPr>
        <w:t>No.1008,Son</w:t>
      </w:r>
      <w:r>
        <w:rPr>
          <w:rFonts w:ascii="Calibri" w:hAnsi="Calibri" w:eastAsia="Calibri" w:cs="Calibri"/>
          <w:spacing w:val="-3"/>
          <w:sz w:val="21"/>
          <w:szCs w:val="21"/>
        </w:rPr>
        <w:t>gbai</w:t>
      </w:r>
      <w:r>
        <w:rPr>
          <w:rFonts w:ascii="Calibri" w:hAnsi="Calibri" w:eastAsia="Calibri" w:cs="Calibri"/>
          <w:spacing w:val="23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sz w:val="21"/>
          <w:szCs w:val="21"/>
        </w:rPr>
        <w:t>Road,</w:t>
      </w:r>
      <w:r>
        <w:rPr>
          <w:rFonts w:ascii="Calibri" w:hAnsi="Calibri" w:eastAsia="Calibri" w:cs="Calibri"/>
          <w:spacing w:val="12"/>
          <w:w w:val="10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sz w:val="21"/>
          <w:szCs w:val="21"/>
        </w:rPr>
        <w:t>Sunshine</w:t>
      </w:r>
      <w:r>
        <w:rPr>
          <w:rFonts w:ascii="Calibri" w:hAnsi="Calibri" w:eastAsia="Calibri" w:cs="Calibri"/>
          <w:spacing w:val="15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3"/>
          <w:sz w:val="21"/>
          <w:szCs w:val="21"/>
        </w:rPr>
        <w:t>Community, Xili</w:t>
      </w:r>
      <w:r>
        <w:rPr>
          <w:rFonts w:ascii="Calibri" w:hAnsi="Calibri" w:eastAsia="Calibri" w:cs="Calibri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Street,</w:t>
      </w:r>
      <w:r>
        <w:rPr>
          <w:rFonts w:ascii="Calibri" w:hAnsi="Calibri" w:eastAsia="Calibri" w:cs="Calibri"/>
          <w:spacing w:val="18"/>
          <w:w w:val="10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Nanshan</w:t>
      </w:r>
      <w:r>
        <w:rPr>
          <w:rFonts w:ascii="Calibri" w:hAnsi="Calibri" w:eastAsia="Calibri" w:cs="Calibri"/>
          <w:spacing w:val="18"/>
          <w:w w:val="101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District, Shenz</w:t>
      </w:r>
      <w:r>
        <w:rPr>
          <w:rFonts w:ascii="Calibri" w:hAnsi="Calibri" w:eastAsia="Calibri" w:cs="Calibri"/>
          <w:spacing w:val="-2"/>
          <w:sz w:val="21"/>
          <w:szCs w:val="21"/>
        </w:rPr>
        <w:t>hen, China</w:t>
      </w:r>
    </w:p>
    <w:p w14:paraId="250BE91E">
      <w:pPr>
        <w:pStyle w:val="2"/>
        <w:spacing w:before="69" w:line="209" w:lineRule="auto"/>
        <w:ind w:left="25"/>
      </w:pPr>
      <w:r>
        <w:rPr>
          <w:b/>
          <w:bCs/>
          <w:spacing w:val="4"/>
        </w:rPr>
        <w:t>Declare that the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4"/>
        </w:rPr>
        <w:t>DoC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4"/>
        </w:rPr>
        <w:t>is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4"/>
        </w:rPr>
        <w:t>issued</w:t>
      </w:r>
      <w:r>
        <w:rPr>
          <w:b/>
          <w:bCs/>
          <w:spacing w:val="14"/>
          <w:w w:val="101"/>
        </w:rPr>
        <w:t xml:space="preserve"> </w:t>
      </w:r>
      <w:r>
        <w:rPr>
          <w:b/>
          <w:bCs/>
          <w:spacing w:val="4"/>
        </w:rPr>
        <w:t>under our sole</w:t>
      </w:r>
      <w:r>
        <w:rPr>
          <w:b/>
          <w:bCs/>
          <w:spacing w:val="13"/>
          <w:w w:val="101"/>
        </w:rPr>
        <w:t xml:space="preserve"> </w:t>
      </w:r>
      <w:r>
        <w:rPr>
          <w:b/>
          <w:bCs/>
          <w:spacing w:val="4"/>
        </w:rPr>
        <w:t>responsibility and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4"/>
        </w:rPr>
        <w:t>belongs to the following product</w:t>
      </w:r>
      <w:r>
        <w:rPr>
          <w:b/>
          <w:bCs/>
          <w:spacing w:val="3"/>
        </w:rPr>
        <w:t>(s):</w:t>
      </w:r>
    </w:p>
    <w:p w14:paraId="03D78DAC">
      <w:pPr>
        <w:spacing w:line="135" w:lineRule="exact"/>
      </w:pPr>
    </w:p>
    <w:tbl>
      <w:tblPr>
        <w:tblStyle w:val="5"/>
        <w:tblW w:w="5250" w:type="dxa"/>
        <w:tblInd w:w="17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9"/>
        <w:gridCol w:w="3031"/>
      </w:tblGrid>
      <w:tr w14:paraId="5829603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219" w:type="dxa"/>
            <w:vAlign w:val="top"/>
          </w:tcPr>
          <w:p w14:paraId="2E78764F">
            <w:pPr>
              <w:spacing w:before="26" w:line="209" w:lineRule="auto"/>
              <w:ind w:left="8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b/>
                <w:bCs/>
                <w:spacing w:val="4"/>
                <w:sz w:val="15"/>
                <w:szCs w:val="15"/>
              </w:rPr>
              <w:t>Product Type:</w:t>
            </w:r>
          </w:p>
        </w:tc>
        <w:tc>
          <w:tcPr>
            <w:tcW w:w="3031" w:type="dxa"/>
            <w:vAlign w:val="top"/>
          </w:tcPr>
          <w:p w14:paraId="47A13D07">
            <w:pPr>
              <w:spacing w:line="214" w:lineRule="auto"/>
              <w:ind w:left="880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-4"/>
                <w:sz w:val="21"/>
                <w:szCs w:val="21"/>
              </w:rPr>
              <w:t>Flip</w:t>
            </w:r>
            <w:r>
              <w:rPr>
                <w:rFonts w:ascii="Calibri" w:hAnsi="Calibri" w:eastAsia="Calibri" w:cs="Calibri"/>
                <w:spacing w:val="16"/>
                <w:w w:val="101"/>
                <w:sz w:val="21"/>
                <w:szCs w:val="21"/>
              </w:rPr>
              <w:t xml:space="preserve"> </w:t>
            </w:r>
            <w:r>
              <w:rPr>
                <w:rFonts w:ascii="Calibri" w:hAnsi="Calibri" w:eastAsia="Calibri" w:cs="Calibri"/>
                <w:spacing w:val="-4"/>
                <w:sz w:val="21"/>
                <w:szCs w:val="21"/>
              </w:rPr>
              <w:t>phone</w:t>
            </w:r>
          </w:p>
        </w:tc>
      </w:tr>
      <w:tr w14:paraId="5F4E986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19" w:type="dxa"/>
            <w:vAlign w:val="top"/>
          </w:tcPr>
          <w:p w14:paraId="7E4E4B0E">
            <w:pPr>
              <w:spacing w:before="53" w:line="201" w:lineRule="exact"/>
              <w:rPr>
                <w:rFonts w:ascii="宋体" w:hAnsi="宋体" w:eastAsia="宋体" w:cs="宋体"/>
                <w:sz w:val="15"/>
                <w:szCs w:val="15"/>
              </w:rPr>
            </w:pPr>
            <w:r>
              <w:rPr>
                <w:rFonts w:ascii="Arial" w:hAnsi="Arial" w:eastAsia="Arial" w:cs="Arial"/>
                <w:b/>
                <w:bCs/>
                <w:position w:val="1"/>
                <w:sz w:val="15"/>
                <w:szCs w:val="15"/>
              </w:rPr>
              <w:t>Trademark</w:t>
            </w:r>
            <w:r>
              <w:rPr>
                <w:rFonts w:ascii="宋体" w:hAnsi="宋体" w:eastAsia="宋体" w:cs="宋体"/>
                <w:b/>
                <w:bCs/>
                <w:spacing w:val="44"/>
                <w:position w:val="1"/>
                <w:sz w:val="15"/>
                <w:szCs w:val="15"/>
              </w:rPr>
              <w:t>：</w:t>
            </w:r>
          </w:p>
        </w:tc>
        <w:tc>
          <w:tcPr>
            <w:tcW w:w="3031" w:type="dxa"/>
            <w:vAlign w:val="top"/>
          </w:tcPr>
          <w:p w14:paraId="1FB5AB4B">
            <w:pPr>
              <w:spacing w:before="71" w:line="179" w:lineRule="auto"/>
              <w:ind w:left="880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pacing w:val="-4"/>
                <w:sz w:val="21"/>
                <w:szCs w:val="21"/>
              </w:rPr>
              <w:t>HAMTOD</w:t>
            </w:r>
          </w:p>
        </w:tc>
      </w:tr>
      <w:tr w14:paraId="08ACA0C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2219" w:type="dxa"/>
            <w:vAlign w:val="top"/>
          </w:tcPr>
          <w:p w14:paraId="537BC741">
            <w:pPr>
              <w:spacing w:before="87" w:line="209" w:lineRule="auto"/>
              <w:ind w:left="7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b/>
                <w:bCs/>
                <w:sz w:val="15"/>
                <w:szCs w:val="15"/>
              </w:rPr>
              <w:t>Model</w:t>
            </w:r>
            <w:r>
              <w:rPr>
                <w:rFonts w:ascii="Arial" w:hAnsi="Arial" w:eastAsia="Arial" w:cs="Arial"/>
                <w:b/>
                <w:bCs/>
                <w:spacing w:val="15"/>
                <w:sz w:val="15"/>
                <w:szCs w:val="15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15"/>
                <w:szCs w:val="15"/>
              </w:rPr>
              <w:t>Number</w:t>
            </w:r>
            <w:r>
              <w:rPr>
                <w:rFonts w:ascii="Arial" w:hAnsi="Arial" w:eastAsia="Arial" w:cs="Arial"/>
                <w:b/>
                <w:bCs/>
                <w:spacing w:val="14"/>
                <w:sz w:val="15"/>
                <w:szCs w:val="15"/>
              </w:rPr>
              <w:t>(s):</w:t>
            </w:r>
          </w:p>
        </w:tc>
        <w:tc>
          <w:tcPr>
            <w:tcW w:w="3031" w:type="dxa"/>
            <w:vAlign w:val="top"/>
          </w:tcPr>
          <w:p w14:paraId="1E20FFD6">
            <w:pPr>
              <w:spacing w:before="120" w:line="186" w:lineRule="auto"/>
              <w:jc w:val="right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 xml:space="preserve">T8, T10, T6, T9, T3, T2, 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T1</w:t>
            </w:r>
          </w:p>
        </w:tc>
      </w:tr>
    </w:tbl>
    <w:p w14:paraId="55A63D32">
      <w:pPr>
        <w:pStyle w:val="2"/>
        <w:spacing w:line="251" w:lineRule="auto"/>
        <w:rPr>
          <w:sz w:val="21"/>
        </w:rPr>
      </w:pPr>
    </w:p>
    <w:p w14:paraId="5D6ABB92">
      <w:pPr>
        <w:pStyle w:val="2"/>
        <w:spacing w:line="251" w:lineRule="auto"/>
        <w:rPr>
          <w:sz w:val="21"/>
        </w:rPr>
      </w:pPr>
    </w:p>
    <w:p w14:paraId="781337B8">
      <w:pPr>
        <w:pStyle w:val="2"/>
        <w:spacing w:before="43" w:line="196" w:lineRule="auto"/>
        <w:ind w:left="23"/>
      </w:pPr>
      <w:r>
        <w:rPr>
          <w:spacing w:val="2"/>
        </w:rPr>
        <w:t>(Name</w:t>
      </w:r>
      <w:r>
        <w:rPr>
          <w:spacing w:val="14"/>
          <w:w w:val="101"/>
        </w:rPr>
        <w:t xml:space="preserve"> </w:t>
      </w:r>
      <w:r>
        <w:rPr>
          <w:spacing w:val="2"/>
        </w:rPr>
        <w:t>of</w:t>
      </w:r>
      <w:r>
        <w:rPr>
          <w:spacing w:val="12"/>
        </w:rPr>
        <w:t xml:space="preserve"> </w:t>
      </w:r>
      <w:r>
        <w:rPr>
          <w:spacing w:val="2"/>
        </w:rPr>
        <w:t>product, type</w:t>
      </w:r>
      <w:r>
        <w:rPr>
          <w:spacing w:val="13"/>
        </w:rPr>
        <w:t xml:space="preserve"> </w:t>
      </w:r>
      <w:r>
        <w:rPr>
          <w:spacing w:val="2"/>
        </w:rPr>
        <w:t>or</w:t>
      </w:r>
      <w:r>
        <w:rPr>
          <w:spacing w:val="19"/>
          <w:w w:val="101"/>
        </w:rPr>
        <w:t xml:space="preserve"> </w:t>
      </w:r>
      <w:r>
        <w:rPr>
          <w:spacing w:val="2"/>
        </w:rPr>
        <w:t>model,</w:t>
      </w:r>
      <w:r>
        <w:rPr>
          <w:spacing w:val="18"/>
          <w:w w:val="101"/>
        </w:rPr>
        <w:t xml:space="preserve"> </w:t>
      </w:r>
      <w:r>
        <w:rPr>
          <w:spacing w:val="2"/>
        </w:rPr>
        <w:t>batch</w:t>
      </w:r>
      <w:r>
        <w:rPr>
          <w:spacing w:val="12"/>
          <w:w w:val="102"/>
        </w:rPr>
        <w:t xml:space="preserve"> </w:t>
      </w:r>
      <w:r>
        <w:rPr>
          <w:spacing w:val="2"/>
        </w:rPr>
        <w:t>or serial</w:t>
      </w:r>
      <w:r>
        <w:rPr>
          <w:spacing w:val="17"/>
          <w:w w:val="101"/>
        </w:rPr>
        <w:t xml:space="preserve"> </w:t>
      </w:r>
      <w:r>
        <w:rPr>
          <w:spacing w:val="2"/>
        </w:rPr>
        <w:t>number)</w:t>
      </w:r>
    </w:p>
    <w:p w14:paraId="54341CBF">
      <w:pPr>
        <w:pStyle w:val="2"/>
        <w:spacing w:before="204" w:line="225" w:lineRule="auto"/>
        <w:ind w:left="25" w:right="6844" w:hanging="4"/>
      </w:pPr>
      <w:r>
        <w:rPr>
          <w:spacing w:val="2"/>
        </w:rPr>
        <w:t>System</w:t>
      </w:r>
      <w:r>
        <w:rPr>
          <w:spacing w:val="23"/>
          <w:w w:val="101"/>
        </w:rPr>
        <w:t xml:space="preserve"> </w:t>
      </w:r>
      <w:r>
        <w:rPr>
          <w:spacing w:val="2"/>
        </w:rPr>
        <w:t>components:</w:t>
      </w:r>
      <w:r>
        <w:t xml:space="preserve">    </w:t>
      </w:r>
      <w:r>
        <w:rPr>
          <w:spacing w:val="3"/>
        </w:rPr>
        <w:t>PIFAAntenna:BT:2dBi;</w:t>
      </w:r>
    </w:p>
    <w:p w14:paraId="105177F5">
      <w:pPr>
        <w:pStyle w:val="2"/>
        <w:spacing w:before="2" w:line="225" w:lineRule="auto"/>
        <w:ind w:left="22"/>
      </w:pPr>
      <w:r>
        <w:t>GSM</w:t>
      </w:r>
      <w:r>
        <w:rPr>
          <w:spacing w:val="5"/>
        </w:rPr>
        <w:t>900:-1.8</w:t>
      </w:r>
      <w:r>
        <w:t>dBi</w:t>
      </w:r>
      <w:r>
        <w:rPr>
          <w:spacing w:val="5"/>
        </w:rPr>
        <w:t>/</w:t>
      </w:r>
      <w:r>
        <w:t>DCS</w:t>
      </w:r>
      <w:r>
        <w:rPr>
          <w:spacing w:val="5"/>
        </w:rPr>
        <w:t>1800:1</w:t>
      </w:r>
      <w:r>
        <w:t>dBi</w:t>
      </w:r>
      <w:r>
        <w:rPr>
          <w:spacing w:val="5"/>
        </w:rPr>
        <w:t xml:space="preserve">; </w:t>
      </w:r>
      <w:r>
        <w:t>WCDMABand</w:t>
      </w:r>
      <w:r>
        <w:rPr>
          <w:spacing w:val="19"/>
        </w:rPr>
        <w:t xml:space="preserve"> </w:t>
      </w:r>
      <w:r>
        <w:rPr>
          <w:rFonts w:ascii="宋体" w:hAnsi="宋体" w:eastAsia="宋体" w:cs="宋体"/>
          <w:spacing w:val="5"/>
        </w:rPr>
        <w:t>Ⅰ</w:t>
      </w:r>
      <w:r>
        <w:rPr>
          <w:rFonts w:ascii="宋体" w:hAnsi="宋体" w:eastAsia="宋体" w:cs="宋体"/>
          <w:spacing w:val="-57"/>
        </w:rPr>
        <w:t xml:space="preserve"> </w:t>
      </w:r>
      <w:r>
        <w:rPr>
          <w:spacing w:val="5"/>
        </w:rPr>
        <w:t>:</w:t>
      </w:r>
      <w:r>
        <w:rPr>
          <w:spacing w:val="13"/>
          <w:w w:val="101"/>
        </w:rPr>
        <w:t xml:space="preserve"> </w:t>
      </w:r>
      <w:r>
        <w:rPr>
          <w:spacing w:val="5"/>
        </w:rPr>
        <w:t>-2.</w:t>
      </w:r>
      <w:r>
        <w:rPr>
          <w:spacing w:val="4"/>
        </w:rPr>
        <w:t>2</w:t>
      </w:r>
      <w:r>
        <w:t>dBi</w:t>
      </w:r>
      <w:r>
        <w:rPr>
          <w:spacing w:val="4"/>
        </w:rPr>
        <w:t>,</w:t>
      </w:r>
      <w:r>
        <w:t>Band</w:t>
      </w:r>
      <w:r>
        <w:rPr>
          <w:rFonts w:ascii="宋体" w:hAnsi="宋体" w:eastAsia="宋体" w:cs="宋体"/>
          <w:spacing w:val="4"/>
        </w:rPr>
        <w:t>Ⅷ</w:t>
      </w:r>
      <w:r>
        <w:rPr>
          <w:spacing w:val="4"/>
        </w:rPr>
        <w:t>:-1.8</w:t>
      </w:r>
      <w:r>
        <w:t>dBi</w:t>
      </w:r>
      <w:r>
        <w:rPr>
          <w:spacing w:val="4"/>
        </w:rPr>
        <w:t>;</w:t>
      </w:r>
    </w:p>
    <w:p w14:paraId="4F9C2CBF">
      <w:pPr>
        <w:pStyle w:val="2"/>
        <w:spacing w:before="10" w:line="210" w:lineRule="auto"/>
        <w:ind w:left="25"/>
      </w:pPr>
      <w:r>
        <w:t>LTE</w:t>
      </w:r>
      <w:r>
        <w:rPr>
          <w:spacing w:val="4"/>
        </w:rPr>
        <w:t>:</w:t>
      </w:r>
      <w:r>
        <w:rPr>
          <w:spacing w:val="29"/>
          <w:w w:val="101"/>
        </w:rPr>
        <w:t xml:space="preserve"> </w:t>
      </w:r>
      <w:r>
        <w:t>Band</w:t>
      </w:r>
      <w:r>
        <w:rPr>
          <w:spacing w:val="4"/>
        </w:rPr>
        <w:t>1:-2.2</w:t>
      </w:r>
      <w:r>
        <w:rPr>
          <w:spacing w:val="13"/>
          <w:w w:val="102"/>
        </w:rPr>
        <w:t xml:space="preserve"> </w:t>
      </w:r>
      <w:r>
        <w:t>dBi</w:t>
      </w:r>
      <w:r>
        <w:rPr>
          <w:spacing w:val="4"/>
        </w:rPr>
        <w:t>;</w:t>
      </w:r>
      <w:r>
        <w:rPr>
          <w:spacing w:val="18"/>
          <w:w w:val="101"/>
        </w:rPr>
        <w:t xml:space="preserve"> </w:t>
      </w:r>
      <w:r>
        <w:t>Band</w:t>
      </w:r>
      <w:r>
        <w:rPr>
          <w:spacing w:val="4"/>
        </w:rPr>
        <w:t>3:1</w:t>
      </w:r>
      <w:r>
        <w:rPr>
          <w:spacing w:val="14"/>
          <w:w w:val="101"/>
        </w:rPr>
        <w:t xml:space="preserve"> </w:t>
      </w:r>
      <w:r>
        <w:t>dBi</w:t>
      </w:r>
      <w:r>
        <w:rPr>
          <w:spacing w:val="4"/>
        </w:rPr>
        <w:t>;</w:t>
      </w:r>
      <w:r>
        <w:rPr>
          <w:spacing w:val="19"/>
          <w:w w:val="101"/>
        </w:rPr>
        <w:t xml:space="preserve"> </w:t>
      </w:r>
      <w:r>
        <w:t>Band</w:t>
      </w:r>
      <w:r>
        <w:rPr>
          <w:spacing w:val="4"/>
        </w:rPr>
        <w:t>7:-1.4</w:t>
      </w:r>
      <w:r>
        <w:rPr>
          <w:spacing w:val="14"/>
        </w:rPr>
        <w:t xml:space="preserve"> </w:t>
      </w:r>
      <w:r>
        <w:t>dBi</w:t>
      </w:r>
      <w:r>
        <w:rPr>
          <w:spacing w:val="4"/>
        </w:rPr>
        <w:t>;</w:t>
      </w:r>
      <w:r>
        <w:rPr>
          <w:spacing w:val="19"/>
          <w:w w:val="102"/>
        </w:rPr>
        <w:t xml:space="preserve"> </w:t>
      </w:r>
      <w:r>
        <w:t>Band</w:t>
      </w:r>
      <w:r>
        <w:rPr>
          <w:spacing w:val="4"/>
        </w:rPr>
        <w:t>8:-1.8</w:t>
      </w:r>
      <w:r>
        <w:rPr>
          <w:spacing w:val="13"/>
          <w:w w:val="101"/>
        </w:rPr>
        <w:t xml:space="preserve"> </w:t>
      </w:r>
      <w:r>
        <w:t>dBi</w:t>
      </w:r>
      <w:r>
        <w:rPr>
          <w:spacing w:val="4"/>
        </w:rPr>
        <w:t>;</w:t>
      </w:r>
      <w:r>
        <w:rPr>
          <w:spacing w:val="20"/>
        </w:rPr>
        <w:t xml:space="preserve"> </w:t>
      </w:r>
      <w:r>
        <w:t>Band</w:t>
      </w:r>
      <w:r>
        <w:rPr>
          <w:spacing w:val="4"/>
        </w:rPr>
        <w:t>20:-1.4</w:t>
      </w:r>
      <w:r>
        <w:rPr>
          <w:spacing w:val="13"/>
          <w:w w:val="101"/>
        </w:rPr>
        <w:t xml:space="preserve"> </w:t>
      </w:r>
      <w:r>
        <w:t>dBi</w:t>
      </w:r>
      <w:r>
        <w:rPr>
          <w:spacing w:val="4"/>
        </w:rPr>
        <w:t>;</w:t>
      </w:r>
    </w:p>
    <w:p w14:paraId="185230E4">
      <w:pPr>
        <w:pStyle w:val="2"/>
        <w:spacing w:before="193" w:line="199" w:lineRule="auto"/>
        <w:ind w:left="14"/>
      </w:pPr>
      <w:r>
        <w:t>Adapter</w:t>
      </w:r>
      <w:r>
        <w:rPr>
          <w:spacing w:val="21"/>
          <w:w w:val="102"/>
        </w:rPr>
        <w:t xml:space="preserve"> </w:t>
      </w:r>
      <w:r>
        <w:rPr>
          <w:spacing w:val="6"/>
        </w:rPr>
        <w:t>1:</w:t>
      </w:r>
    </w:p>
    <w:p w14:paraId="5ABAD2C9">
      <w:pPr>
        <w:pStyle w:val="2"/>
        <w:spacing w:before="31" w:line="237" w:lineRule="auto"/>
        <w:ind w:left="25"/>
      </w:pPr>
      <w:r>
        <w:t>Model</w:t>
      </w:r>
      <w:r>
        <w:rPr>
          <w:spacing w:val="4"/>
        </w:rPr>
        <w:t>:G006A0501000C</w:t>
      </w:r>
    </w:p>
    <w:p w14:paraId="32D5E4C4">
      <w:pPr>
        <w:pStyle w:val="2"/>
        <w:spacing w:before="2" w:line="218" w:lineRule="auto"/>
        <w:ind w:left="21" w:right="6256" w:firstLine="6"/>
      </w:pPr>
      <w:r>
        <w:t>Input</w:t>
      </w:r>
      <w:r>
        <w:rPr>
          <w:spacing w:val="2"/>
        </w:rPr>
        <w:t>:</w:t>
      </w:r>
      <w:r>
        <w:rPr>
          <w:spacing w:val="39"/>
          <w:w w:val="101"/>
        </w:rPr>
        <w:t xml:space="preserve"> </w:t>
      </w:r>
      <w:r>
        <w:rPr>
          <w:spacing w:val="2"/>
        </w:rPr>
        <w:t>100-240V~50/60</w:t>
      </w:r>
      <w:r>
        <w:t>Hz</w:t>
      </w:r>
      <w:r>
        <w:rPr>
          <w:spacing w:val="16"/>
        </w:rPr>
        <w:t xml:space="preserve"> </w:t>
      </w:r>
      <w:r>
        <w:rPr>
          <w:spacing w:val="2"/>
        </w:rPr>
        <w:t>0.3A</w:t>
      </w:r>
      <w:r>
        <w:t xml:space="preserve"> Output</w:t>
      </w:r>
      <w:r>
        <w:rPr>
          <w:spacing w:val="3"/>
        </w:rPr>
        <w:t>:</w:t>
      </w:r>
      <w:r>
        <w:rPr>
          <w:spacing w:val="17"/>
        </w:rPr>
        <w:t xml:space="preserve"> </w:t>
      </w:r>
      <w:r>
        <w:rPr>
          <w:spacing w:val="3"/>
        </w:rPr>
        <w:t>5.0V</w:t>
      </w:r>
      <w:r>
        <w:rPr>
          <w:spacing w:val="-8"/>
        </w:rPr>
        <w:t xml:space="preserve"> </w:t>
      </w:r>
      <w:r>
        <w:drawing>
          <wp:inline distT="0" distB="0" distL="0" distR="0">
            <wp:extent cx="188595" cy="11239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595" cy="11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"/>
        </w:rPr>
        <w:t>1.0A</w:t>
      </w:r>
      <w:r>
        <w:rPr>
          <w:spacing w:val="13"/>
        </w:rPr>
        <w:t xml:space="preserve"> </w:t>
      </w:r>
      <w:r>
        <w:rPr>
          <w:spacing w:val="3"/>
        </w:rPr>
        <w:t>5.0W</w:t>
      </w:r>
    </w:p>
    <w:p w14:paraId="754EE6E4">
      <w:pPr>
        <w:pStyle w:val="2"/>
        <w:spacing w:before="30" w:line="196" w:lineRule="auto"/>
        <w:ind w:left="25"/>
      </w:pPr>
      <w:r>
        <w:rPr>
          <w:spacing w:val="3"/>
        </w:rPr>
        <w:t>Manufacturer:SHENZHEN</w:t>
      </w:r>
      <w:r>
        <w:rPr>
          <w:spacing w:val="15"/>
          <w:w w:val="101"/>
        </w:rPr>
        <w:t xml:space="preserve"> </w:t>
      </w:r>
      <w:r>
        <w:rPr>
          <w:spacing w:val="3"/>
        </w:rPr>
        <w:t>SORGHU</w:t>
      </w:r>
      <w:r>
        <w:rPr>
          <w:spacing w:val="2"/>
        </w:rPr>
        <w:t>M</w:t>
      </w:r>
      <w:r>
        <w:rPr>
          <w:spacing w:val="19"/>
        </w:rPr>
        <w:t xml:space="preserve"> </w:t>
      </w:r>
      <w:r>
        <w:rPr>
          <w:spacing w:val="2"/>
        </w:rPr>
        <w:t>RED</w:t>
      </w:r>
      <w:r>
        <w:rPr>
          <w:spacing w:val="18"/>
          <w:w w:val="102"/>
        </w:rPr>
        <w:t xml:space="preserve"> </w:t>
      </w:r>
      <w:r>
        <w:rPr>
          <w:spacing w:val="2"/>
        </w:rPr>
        <w:t>ELECTRONICS TECHNOLOGY</w:t>
      </w:r>
      <w:r>
        <w:rPr>
          <w:spacing w:val="14"/>
        </w:rPr>
        <w:t xml:space="preserve"> </w:t>
      </w:r>
      <w:r>
        <w:rPr>
          <w:spacing w:val="2"/>
        </w:rPr>
        <w:t>CO</w:t>
      </w:r>
      <w:r>
        <w:rPr>
          <w:spacing w:val="18"/>
        </w:rPr>
        <w:t xml:space="preserve"> </w:t>
      </w:r>
      <w:r>
        <w:rPr>
          <w:spacing w:val="2"/>
        </w:rPr>
        <w:t>LTD</w:t>
      </w:r>
    </w:p>
    <w:p w14:paraId="607C4B24">
      <w:pPr>
        <w:pStyle w:val="2"/>
        <w:spacing w:before="205" w:line="196" w:lineRule="auto"/>
        <w:ind w:left="26"/>
      </w:pPr>
      <w:r>
        <w:rPr>
          <w:spacing w:val="3"/>
        </w:rPr>
        <w:t>RechargeableLi-ionBattery:</w:t>
      </w:r>
    </w:p>
    <w:p w14:paraId="27015B4C">
      <w:pPr>
        <w:pStyle w:val="2"/>
        <w:spacing w:before="32" w:line="199" w:lineRule="auto"/>
        <w:ind w:left="25"/>
      </w:pPr>
      <w:r>
        <w:t>Model</w:t>
      </w:r>
      <w:r>
        <w:rPr>
          <w:spacing w:val="6"/>
        </w:rPr>
        <w:t>:T8;</w:t>
      </w:r>
      <w:r>
        <w:rPr>
          <w:spacing w:val="16"/>
        </w:rPr>
        <w:t xml:space="preserve"> </w:t>
      </w:r>
      <w:r>
        <w:t>Specification</w:t>
      </w:r>
      <w:r>
        <w:rPr>
          <w:spacing w:val="6"/>
        </w:rPr>
        <w:t>:</w:t>
      </w:r>
      <w:r>
        <w:t>DC</w:t>
      </w:r>
      <w:r>
        <w:rPr>
          <w:spacing w:val="16"/>
        </w:rPr>
        <w:t xml:space="preserve"> </w:t>
      </w:r>
      <w:r>
        <w:rPr>
          <w:spacing w:val="6"/>
        </w:rPr>
        <w:t>3.8V,</w:t>
      </w:r>
      <w:r>
        <w:rPr>
          <w:spacing w:val="25"/>
          <w:w w:val="101"/>
        </w:rPr>
        <w:t xml:space="preserve"> </w:t>
      </w:r>
      <w:r>
        <w:rPr>
          <w:spacing w:val="6"/>
        </w:rPr>
        <w:t>1500</w:t>
      </w:r>
      <w:r>
        <w:t>mAh</w:t>
      </w:r>
      <w:r>
        <w:rPr>
          <w:spacing w:val="6"/>
        </w:rPr>
        <w:t>,5.7</w:t>
      </w:r>
      <w:r>
        <w:t>Wh</w:t>
      </w:r>
      <w:r>
        <w:rPr>
          <w:spacing w:val="6"/>
        </w:rPr>
        <w:t>;</w:t>
      </w:r>
    </w:p>
    <w:p w14:paraId="1A2B81FF">
      <w:pPr>
        <w:pStyle w:val="2"/>
        <w:spacing w:before="29" w:line="196" w:lineRule="auto"/>
        <w:ind w:left="25"/>
      </w:pPr>
      <w:r>
        <w:rPr>
          <w:spacing w:val="2"/>
        </w:rPr>
        <w:t>Manufacturer:</w:t>
      </w:r>
      <w:r>
        <w:rPr>
          <w:spacing w:val="30"/>
        </w:rPr>
        <w:t xml:space="preserve"> </w:t>
      </w:r>
      <w:r>
        <w:rPr>
          <w:spacing w:val="2"/>
        </w:rPr>
        <w:t>Shenzhen</w:t>
      </w:r>
      <w:r>
        <w:rPr>
          <w:spacing w:val="15"/>
          <w:w w:val="101"/>
        </w:rPr>
        <w:t xml:space="preserve"> </w:t>
      </w:r>
      <w:r>
        <w:rPr>
          <w:spacing w:val="2"/>
        </w:rPr>
        <w:t>Changxingda</w:t>
      </w:r>
      <w:r>
        <w:rPr>
          <w:spacing w:val="21"/>
        </w:rPr>
        <w:t xml:space="preserve"> </w:t>
      </w:r>
      <w:r>
        <w:rPr>
          <w:spacing w:val="2"/>
        </w:rPr>
        <w:t>New</w:t>
      </w:r>
      <w:r>
        <w:rPr>
          <w:spacing w:val="17"/>
          <w:w w:val="102"/>
        </w:rPr>
        <w:t xml:space="preserve"> </w:t>
      </w:r>
      <w:r>
        <w:rPr>
          <w:spacing w:val="2"/>
        </w:rPr>
        <w:t>Energy</w:t>
      </w:r>
      <w:r>
        <w:rPr>
          <w:spacing w:val="17"/>
        </w:rPr>
        <w:t xml:space="preserve"> </w:t>
      </w:r>
      <w:r>
        <w:rPr>
          <w:spacing w:val="2"/>
        </w:rPr>
        <w:t>Co.,Ltd.</w:t>
      </w:r>
    </w:p>
    <w:p w14:paraId="6A87D3E1">
      <w:pPr>
        <w:spacing w:before="1" w:line="5669" w:lineRule="exact"/>
        <w:ind w:firstLine="44"/>
      </w:pPr>
      <w:r>
        <w:rPr>
          <w:position w:val="-113"/>
        </w:rPr>
        <w:drawing>
          <wp:inline distT="0" distB="0" distL="0" distR="0">
            <wp:extent cx="4796790" cy="359918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6790" cy="3599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F26DF">
      <w:pPr>
        <w:pStyle w:val="2"/>
        <w:spacing w:line="350" w:lineRule="auto"/>
        <w:rPr>
          <w:sz w:val="21"/>
        </w:rPr>
      </w:pPr>
    </w:p>
    <w:p w14:paraId="4AA0526B">
      <w:pPr>
        <w:pStyle w:val="2"/>
        <w:spacing w:before="53" w:line="329" w:lineRule="auto"/>
        <w:ind w:left="17" w:right="153" w:firstLine="1"/>
        <w:rPr>
          <w:sz w:val="18"/>
          <w:szCs w:val="18"/>
        </w:rPr>
      </w:pPr>
      <w:r>
        <w:rPr>
          <w:b/>
          <w:bCs/>
          <w:sz w:val="18"/>
          <w:szCs w:val="18"/>
        </w:rPr>
        <w:t>The object of the declaration desc</w:t>
      </w:r>
      <w:r>
        <w:rPr>
          <w:b/>
          <w:bCs/>
          <w:spacing w:val="-1"/>
          <w:sz w:val="18"/>
          <w:szCs w:val="18"/>
        </w:rPr>
        <w:t>ribed above</w:t>
      </w:r>
      <w:r>
        <w:rPr>
          <w:b/>
          <w:bCs/>
          <w:spacing w:val="13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is</w:t>
      </w:r>
      <w:r>
        <w:rPr>
          <w:b/>
          <w:bCs/>
          <w:spacing w:val="13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in conformity with</w:t>
      </w:r>
      <w:r>
        <w:rPr>
          <w:b/>
          <w:bCs/>
          <w:spacing w:val="3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the</w:t>
      </w:r>
      <w:r>
        <w:rPr>
          <w:b/>
          <w:bCs/>
          <w:spacing w:val="6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essential</w:t>
      </w:r>
      <w:r>
        <w:rPr>
          <w:b/>
          <w:bCs/>
          <w:spacing w:val="12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requirements</w:t>
      </w:r>
      <w:r>
        <w:rPr>
          <w:b/>
          <w:bCs/>
          <w:spacing w:val="8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of</w:t>
      </w:r>
      <w:r>
        <w:rPr>
          <w:b/>
          <w:bCs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the</w:t>
      </w:r>
      <w:r>
        <w:rPr>
          <w:b/>
          <w:bCs/>
          <w:spacing w:val="11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relevant</w:t>
      </w:r>
      <w:r>
        <w:rPr>
          <w:b/>
          <w:bCs/>
          <w:spacing w:val="13"/>
          <w:w w:val="101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Union</w:t>
      </w:r>
      <w:r>
        <w:rPr>
          <w:b/>
          <w:bCs/>
          <w:spacing w:val="12"/>
          <w:w w:val="101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harmonization</w:t>
      </w:r>
      <w:r>
        <w:rPr>
          <w:b/>
          <w:bCs/>
          <w:spacing w:val="13"/>
          <w:w w:val="101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legislation:</w:t>
      </w:r>
      <w:r>
        <w:rPr>
          <w:b/>
          <w:bCs/>
          <w:spacing w:val="14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Radio</w:t>
      </w:r>
      <w:r>
        <w:rPr>
          <w:b/>
          <w:bCs/>
          <w:spacing w:val="13"/>
          <w:w w:val="101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Equipment</w:t>
      </w:r>
      <w:r>
        <w:rPr>
          <w:b/>
          <w:bCs/>
          <w:spacing w:val="13"/>
          <w:w w:val="101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 xml:space="preserve">Directive </w:t>
      </w:r>
      <w:r>
        <w:rPr>
          <w:b/>
          <w:bCs/>
          <w:i/>
          <w:iCs/>
          <w:spacing w:val="-1"/>
          <w:sz w:val="18"/>
          <w:szCs w:val="18"/>
        </w:rPr>
        <w:t>RED (2014/53/EU)</w:t>
      </w:r>
      <w:r>
        <w:rPr>
          <w:b/>
          <w:bCs/>
          <w:spacing w:val="-1"/>
          <w:sz w:val="18"/>
          <w:szCs w:val="18"/>
        </w:rPr>
        <w:t>.</w:t>
      </w:r>
    </w:p>
    <w:p w14:paraId="5CF7FDF3">
      <w:pPr>
        <w:pStyle w:val="2"/>
        <w:spacing w:before="56" w:line="196" w:lineRule="auto"/>
        <w:ind w:left="18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The following </w:t>
      </w:r>
      <w:r>
        <w:rPr>
          <w:b/>
          <w:bCs/>
          <w:i/>
          <w:iCs/>
          <w:sz w:val="18"/>
          <w:szCs w:val="18"/>
        </w:rPr>
        <w:t xml:space="preserve">harmonized </w:t>
      </w:r>
      <w:r>
        <w:rPr>
          <w:b/>
          <w:bCs/>
          <w:sz w:val="18"/>
          <w:szCs w:val="18"/>
        </w:rPr>
        <w:t>standards and technical specifications</w:t>
      </w:r>
      <w:r>
        <w:rPr>
          <w:b/>
          <w:bCs/>
          <w:spacing w:val="13"/>
          <w:sz w:val="18"/>
          <w:szCs w:val="18"/>
        </w:rPr>
        <w:t xml:space="preserve"> </w:t>
      </w:r>
      <w:r>
        <w:rPr>
          <w:b/>
          <w:bCs/>
          <w:spacing w:val="-1"/>
          <w:sz w:val="18"/>
          <w:szCs w:val="18"/>
        </w:rPr>
        <w:t>have been applied:</w:t>
      </w:r>
    </w:p>
    <w:p w14:paraId="4FF7E6F9">
      <w:pPr>
        <w:spacing w:line="196" w:lineRule="auto"/>
        <w:rPr>
          <w:sz w:val="18"/>
          <w:szCs w:val="18"/>
        </w:rPr>
        <w:sectPr>
          <w:pgSz w:w="11907" w:h="16839"/>
          <w:pgMar w:top="1431" w:right="1676" w:bottom="0" w:left="1785" w:header="0" w:footer="0" w:gutter="0"/>
          <w:cols w:space="720" w:num="1"/>
        </w:sectPr>
      </w:pPr>
    </w:p>
    <w:p w14:paraId="54286AFE">
      <w:pPr>
        <w:pStyle w:val="2"/>
        <w:spacing w:before="110" w:line="196" w:lineRule="auto"/>
        <w:ind w:left="25"/>
      </w:pPr>
      <w:r>
        <w:rPr>
          <w:b/>
          <w:bCs/>
          <w:color w:val="1F1F1F"/>
          <w:spacing w:val="-1"/>
        </w:rPr>
        <w:t>HEALTH &amp; SAFETY</w:t>
      </w:r>
      <w:r>
        <w:rPr>
          <w:b/>
          <w:bCs/>
          <w:color w:val="1F1F1F"/>
          <w:spacing w:val="10"/>
        </w:rPr>
        <w:t xml:space="preserve"> </w:t>
      </w:r>
      <w:r>
        <w:rPr>
          <w:b/>
          <w:bCs/>
          <w:color w:val="1F1F1F"/>
          <w:spacing w:val="-1"/>
        </w:rPr>
        <w:t>(Art.</w:t>
      </w:r>
      <w:r>
        <w:rPr>
          <w:b/>
          <w:bCs/>
          <w:color w:val="1F1F1F"/>
          <w:spacing w:val="6"/>
        </w:rPr>
        <w:t xml:space="preserve"> </w:t>
      </w:r>
      <w:r>
        <w:rPr>
          <w:b/>
          <w:bCs/>
          <w:color w:val="1F1F1F"/>
          <w:spacing w:val="-1"/>
        </w:rPr>
        <w:t>3(1)(a)):</w:t>
      </w:r>
    </w:p>
    <w:p w14:paraId="508D45B4">
      <w:pPr>
        <w:pStyle w:val="2"/>
        <w:spacing w:before="168" w:line="409" w:lineRule="auto"/>
        <w:ind w:left="26" w:right="7313"/>
      </w:pPr>
      <w:r>
        <w:fldChar w:fldCharType="begin"/>
      </w:r>
      <w:r>
        <w:instrText xml:space="preserve"> HYPERLINK "https://www.cenelec.eu/dyn/www/f?p=104:110:1037140050254801::::FSP_ORG_ID,FSP_PROJECT,FSP_LANG_ID:1258483,62208,25" </w:instrText>
      </w:r>
      <w:r>
        <w:fldChar w:fldCharType="separate"/>
      </w:r>
      <w:r>
        <w:rPr>
          <w:spacing w:val="-1"/>
        </w:rPr>
        <w:t>EN 50360:2017;</w:t>
      </w:r>
      <w:r>
        <w:rPr>
          <w:spacing w:val="-1"/>
        </w:rPr>
        <w:fldChar w:fldCharType="end"/>
      </w:r>
      <w:r>
        <w:rPr>
          <w:spacing w:val="1"/>
        </w:rPr>
        <w:t xml:space="preserve"> </w:t>
      </w:r>
      <w:r>
        <w:rPr>
          <w:spacing w:val="-1"/>
        </w:rPr>
        <w:t>EN 50566:2017;</w:t>
      </w:r>
    </w:p>
    <w:p w14:paraId="1444CEAD">
      <w:pPr>
        <w:pStyle w:val="2"/>
        <w:spacing w:before="36" w:line="401" w:lineRule="auto"/>
        <w:ind w:left="26" w:right="7178"/>
      </w:pPr>
      <w:r>
        <w:rPr>
          <w:spacing w:val="-1"/>
        </w:rPr>
        <w:t>EN 62209-1:2016;</w:t>
      </w:r>
      <w:r>
        <w:rPr>
          <w:spacing w:val="4"/>
        </w:rPr>
        <w:t xml:space="preserve"> </w:t>
      </w:r>
      <w:r>
        <w:rPr>
          <w:spacing w:val="-1"/>
        </w:rPr>
        <w:t>EN 62209-2:2010;</w:t>
      </w:r>
      <w:r>
        <w:rPr>
          <w:spacing w:val="4"/>
        </w:rPr>
        <w:t xml:space="preserve"> </w:t>
      </w:r>
      <w:r>
        <w:rPr>
          <w:spacing w:val="-1"/>
        </w:rPr>
        <w:t>EN 62479:2010</w:t>
      </w:r>
    </w:p>
    <w:p w14:paraId="479678AB">
      <w:pPr>
        <w:pStyle w:val="2"/>
        <w:spacing w:before="71" w:line="196" w:lineRule="auto"/>
        <w:ind w:left="26"/>
      </w:pPr>
      <w:r>
        <w:rPr>
          <w:spacing w:val="-2"/>
        </w:rPr>
        <w:t>EN</w:t>
      </w:r>
      <w:r>
        <w:rPr>
          <w:spacing w:val="29"/>
        </w:rPr>
        <w:t xml:space="preserve"> </w:t>
      </w:r>
      <w:r>
        <w:rPr>
          <w:spacing w:val="-2"/>
        </w:rPr>
        <w:t>IEC 62368-1:2020+A11:2020</w:t>
      </w:r>
    </w:p>
    <w:p w14:paraId="60AAA2EC">
      <w:pPr>
        <w:pStyle w:val="2"/>
        <w:spacing w:before="173" w:line="196" w:lineRule="auto"/>
        <w:ind w:left="25"/>
        <w:outlineLvl w:val="1"/>
      </w:pPr>
      <w:r>
        <w:rPr>
          <w:b/>
          <w:bCs/>
          <w:spacing w:val="-1"/>
        </w:rPr>
        <w:t>EMC (Art.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1"/>
        </w:rPr>
        <w:t>3(1)(b)):</w:t>
      </w:r>
    </w:p>
    <w:p w14:paraId="38E792E7">
      <w:pPr>
        <w:pStyle w:val="2"/>
        <w:spacing w:before="170" w:line="412" w:lineRule="auto"/>
        <w:ind w:left="26" w:right="5845"/>
      </w:pPr>
      <w:r>
        <w:rPr>
          <w:spacing w:val="-2"/>
        </w:rPr>
        <w:t>ETSI</w:t>
      </w:r>
      <w:r>
        <w:rPr>
          <w:spacing w:val="29"/>
          <w:w w:val="101"/>
        </w:rPr>
        <w:t xml:space="preserve"> </w:t>
      </w:r>
      <w:r>
        <w:rPr>
          <w:spacing w:val="-2"/>
        </w:rPr>
        <w:t>EN 301 489-1 V2.2.3</w:t>
      </w:r>
      <w:r>
        <w:rPr>
          <w:spacing w:val="9"/>
        </w:rPr>
        <w:t xml:space="preserve"> </w:t>
      </w:r>
      <w:r>
        <w:rPr>
          <w:spacing w:val="-2"/>
        </w:rPr>
        <w:t>(2019-11)</w:t>
      </w:r>
      <w:r>
        <w:t xml:space="preserve">   </w:t>
      </w:r>
      <w:r>
        <w:rPr>
          <w:spacing w:val="-1"/>
        </w:rPr>
        <w:t>ETSI</w:t>
      </w:r>
      <w:r>
        <w:rPr>
          <w:spacing w:val="21"/>
        </w:rPr>
        <w:t xml:space="preserve"> </w:t>
      </w:r>
      <w:r>
        <w:rPr>
          <w:spacing w:val="-1"/>
        </w:rPr>
        <w:t>EN 301 489-17 V3.2.4 (2020-09)</w:t>
      </w:r>
      <w:r>
        <w:t xml:space="preserve"> </w:t>
      </w:r>
      <w:r>
        <w:rPr>
          <w:spacing w:val="-1"/>
        </w:rPr>
        <w:t>ETSI</w:t>
      </w:r>
      <w:r>
        <w:rPr>
          <w:spacing w:val="12"/>
        </w:rPr>
        <w:t xml:space="preserve"> </w:t>
      </w:r>
      <w:r>
        <w:rPr>
          <w:spacing w:val="-1"/>
        </w:rPr>
        <w:t>EN 301 489-52 V1.2.1 (2021-</w:t>
      </w:r>
      <w:r>
        <w:rPr>
          <w:spacing w:val="-2"/>
        </w:rPr>
        <w:t>11)</w:t>
      </w:r>
    </w:p>
    <w:p w14:paraId="75FDCD4E">
      <w:pPr>
        <w:pStyle w:val="2"/>
        <w:spacing w:before="49" w:line="429" w:lineRule="auto"/>
        <w:ind w:left="26" w:right="6637"/>
      </w:pPr>
      <w:r>
        <w:rPr>
          <w:spacing w:val="-1"/>
        </w:rPr>
        <w:t>EN 55032:2015+A1:2020</w:t>
      </w:r>
      <w:r>
        <w:rPr>
          <w:spacing w:val="2"/>
        </w:rPr>
        <w:t xml:space="preserve">   </w:t>
      </w:r>
      <w:r>
        <w:rPr>
          <w:spacing w:val="-1"/>
        </w:rPr>
        <w:t>EN 55035:2017+A11:2</w:t>
      </w:r>
      <w:r>
        <w:rPr>
          <w:spacing w:val="-2"/>
        </w:rPr>
        <w:t>020</w:t>
      </w:r>
    </w:p>
    <w:p w14:paraId="4BF4C1D8">
      <w:pPr>
        <w:pStyle w:val="2"/>
        <w:spacing w:before="5" w:line="429" w:lineRule="auto"/>
        <w:ind w:left="26" w:right="6150"/>
      </w:pPr>
      <w:r>
        <w:rPr>
          <w:spacing w:val="-1"/>
        </w:rPr>
        <w:t>EN</w:t>
      </w:r>
      <w:r>
        <w:rPr>
          <w:spacing w:val="15"/>
        </w:rPr>
        <w:t xml:space="preserve"> </w:t>
      </w:r>
      <w:r>
        <w:rPr>
          <w:spacing w:val="-1"/>
        </w:rPr>
        <w:t>IEC 61000-3-2:2019+A1:2021</w:t>
      </w:r>
      <w:r>
        <w:t xml:space="preserve"> </w:t>
      </w:r>
      <w:r>
        <w:rPr>
          <w:spacing w:val="-1"/>
        </w:rPr>
        <w:t>EN 61000-3-3:2013+A2:2021</w:t>
      </w:r>
    </w:p>
    <w:p w14:paraId="2DC6F0AE">
      <w:pPr>
        <w:pStyle w:val="2"/>
        <w:spacing w:before="10" w:line="196" w:lineRule="auto"/>
        <w:ind w:left="25"/>
      </w:pPr>
      <w:r>
        <w:rPr>
          <w:b/>
          <w:bCs/>
          <w:spacing w:val="-1"/>
        </w:rPr>
        <w:t>Radio Spectrum (Article</w:t>
      </w:r>
      <w:r>
        <w:rPr>
          <w:b/>
          <w:bCs/>
          <w:spacing w:val="15"/>
        </w:rPr>
        <w:t xml:space="preserve"> </w:t>
      </w:r>
      <w:r>
        <w:rPr>
          <w:b/>
          <w:bCs/>
          <w:spacing w:val="-1"/>
        </w:rPr>
        <w:t>3.2):</w:t>
      </w:r>
    </w:p>
    <w:p w14:paraId="7383FFD6">
      <w:pPr>
        <w:pStyle w:val="2"/>
        <w:spacing w:before="169" w:line="196" w:lineRule="auto"/>
        <w:ind w:left="26"/>
      </w:pPr>
      <w:r>
        <w:rPr>
          <w:spacing w:val="-1"/>
        </w:rPr>
        <w:t>EN 301 511 V12.5.1</w:t>
      </w:r>
      <w:r>
        <w:rPr>
          <w:spacing w:val="10"/>
        </w:rPr>
        <w:t xml:space="preserve"> </w:t>
      </w:r>
      <w:r>
        <w:rPr>
          <w:spacing w:val="-1"/>
        </w:rPr>
        <w:t>(201</w:t>
      </w:r>
      <w:r>
        <w:rPr>
          <w:spacing w:val="-2"/>
        </w:rPr>
        <w:t>7-03);</w:t>
      </w:r>
    </w:p>
    <w:p w14:paraId="7CDE349B">
      <w:pPr>
        <w:pStyle w:val="2"/>
        <w:spacing w:before="171" w:line="418" w:lineRule="auto"/>
        <w:ind w:left="26" w:right="6095"/>
      </w:pPr>
      <w:r>
        <w:rPr>
          <w:spacing w:val="-1"/>
        </w:rPr>
        <w:t>EN 301 908-1 V15.1.1</w:t>
      </w:r>
      <w:r>
        <w:rPr>
          <w:spacing w:val="17"/>
          <w:w w:val="101"/>
        </w:rPr>
        <w:t xml:space="preserve"> </w:t>
      </w:r>
      <w:r>
        <w:rPr>
          <w:spacing w:val="-1"/>
        </w:rPr>
        <w:t>(2021-09);</w:t>
      </w:r>
      <w:r>
        <w:t xml:space="preserve">   </w:t>
      </w:r>
      <w:r>
        <w:rPr>
          <w:spacing w:val="-1"/>
        </w:rPr>
        <w:t>EN 301 908-2 V13.1.1</w:t>
      </w:r>
      <w:r>
        <w:rPr>
          <w:spacing w:val="17"/>
        </w:rPr>
        <w:t xml:space="preserve"> </w:t>
      </w:r>
      <w:r>
        <w:rPr>
          <w:spacing w:val="-1"/>
        </w:rPr>
        <w:t>(2020-06);</w:t>
      </w:r>
      <w:r>
        <w:t xml:space="preserve">   </w:t>
      </w:r>
      <w:r>
        <w:rPr>
          <w:spacing w:val="-1"/>
        </w:rPr>
        <w:t>EN 301 908-13 V13.2.1</w:t>
      </w:r>
      <w:r>
        <w:rPr>
          <w:spacing w:val="18"/>
          <w:w w:val="101"/>
        </w:rPr>
        <w:t xml:space="preserve"> </w:t>
      </w:r>
      <w:r>
        <w:rPr>
          <w:spacing w:val="-1"/>
        </w:rPr>
        <w:t>(2022-02);</w:t>
      </w:r>
      <w:r>
        <w:t xml:space="preserve"> </w:t>
      </w:r>
      <w:r>
        <w:rPr>
          <w:spacing w:val="-1"/>
        </w:rPr>
        <w:t>EN 300 328 V2.2.2</w:t>
      </w:r>
      <w:r>
        <w:rPr>
          <w:spacing w:val="15"/>
        </w:rPr>
        <w:t xml:space="preserve"> </w:t>
      </w:r>
      <w:r>
        <w:rPr>
          <w:spacing w:val="-1"/>
        </w:rPr>
        <w:t>(2019-07);</w:t>
      </w:r>
    </w:p>
    <w:p w14:paraId="56192A3D">
      <w:pPr>
        <w:pStyle w:val="2"/>
        <w:spacing w:before="47" w:line="402" w:lineRule="auto"/>
        <w:ind w:left="26" w:right="6262"/>
      </w:pPr>
      <w:r>
        <w:rPr>
          <w:spacing w:val="-1"/>
        </w:rPr>
        <w:t>EN 303 345-1 V1.1.1</w:t>
      </w:r>
      <w:r>
        <w:rPr>
          <w:spacing w:val="17"/>
        </w:rPr>
        <w:t xml:space="preserve"> </w:t>
      </w:r>
      <w:r>
        <w:rPr>
          <w:spacing w:val="-1"/>
        </w:rPr>
        <w:t>(2019-06);</w:t>
      </w:r>
      <w:r>
        <w:t xml:space="preserve"> </w:t>
      </w:r>
      <w:r>
        <w:rPr>
          <w:spacing w:val="-1"/>
        </w:rPr>
        <w:t>EN 303 345-3 V1.1.1</w:t>
      </w:r>
      <w:r>
        <w:rPr>
          <w:spacing w:val="17"/>
        </w:rPr>
        <w:t xml:space="preserve"> </w:t>
      </w:r>
      <w:r>
        <w:rPr>
          <w:spacing w:val="-1"/>
        </w:rPr>
        <w:t>(2021-06);</w:t>
      </w:r>
    </w:p>
    <w:p w14:paraId="62B97BBA">
      <w:pPr>
        <w:pStyle w:val="2"/>
        <w:spacing w:before="48" w:line="196" w:lineRule="auto"/>
        <w:ind w:left="25"/>
      </w:pPr>
      <w:r>
        <w:rPr>
          <w:b/>
          <w:bCs/>
          <w:spacing w:val="-1"/>
        </w:rPr>
        <w:t>Notified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1"/>
        </w:rPr>
        <w:t>Body Involv</w:t>
      </w:r>
      <w:r>
        <w:rPr>
          <w:b/>
          <w:bCs/>
          <w:spacing w:val="-2"/>
        </w:rPr>
        <w:t>ed:</w:t>
      </w:r>
    </w:p>
    <w:p w14:paraId="5192516E">
      <w:pPr>
        <w:pStyle w:val="2"/>
        <w:spacing w:line="397" w:lineRule="auto"/>
        <w:rPr>
          <w:sz w:val="21"/>
        </w:rPr>
      </w:pPr>
    </w:p>
    <w:p w14:paraId="46F497D8">
      <w:pPr>
        <w:pStyle w:val="2"/>
        <w:spacing w:before="61" w:line="196" w:lineRule="auto"/>
        <w:ind w:left="30"/>
        <w:rPr>
          <w:sz w:val="21"/>
          <w:szCs w:val="21"/>
        </w:rPr>
      </w:pPr>
      <w:r>
        <w:rPr>
          <w:color w:val="00000A"/>
          <w:spacing w:val="-2"/>
          <w:sz w:val="21"/>
          <w:szCs w:val="21"/>
        </w:rPr>
        <w:t>Notified</w:t>
      </w:r>
      <w:r>
        <w:rPr>
          <w:color w:val="00000A"/>
          <w:spacing w:val="16"/>
          <w:sz w:val="21"/>
          <w:szCs w:val="21"/>
        </w:rPr>
        <w:t xml:space="preserve"> </w:t>
      </w:r>
      <w:r>
        <w:rPr>
          <w:color w:val="00000A"/>
          <w:spacing w:val="-2"/>
          <w:sz w:val="21"/>
          <w:szCs w:val="21"/>
        </w:rPr>
        <w:t>Body</w:t>
      </w:r>
      <w:r>
        <w:rPr>
          <w:color w:val="00000A"/>
          <w:spacing w:val="15"/>
          <w:sz w:val="21"/>
          <w:szCs w:val="21"/>
        </w:rPr>
        <w:t xml:space="preserve"> </w:t>
      </w:r>
      <w:r>
        <w:rPr>
          <w:color w:val="00000A"/>
          <w:spacing w:val="-2"/>
          <w:sz w:val="21"/>
          <w:szCs w:val="21"/>
        </w:rPr>
        <w:t>Name:</w:t>
      </w:r>
      <w:r>
        <w:rPr>
          <w:color w:val="00000A"/>
          <w:spacing w:val="16"/>
          <w:w w:val="101"/>
          <w:sz w:val="21"/>
          <w:szCs w:val="21"/>
        </w:rPr>
        <w:t xml:space="preserve"> </w:t>
      </w:r>
      <w:r>
        <w:rPr>
          <w:color w:val="00000A"/>
          <w:spacing w:val="-2"/>
          <w:sz w:val="21"/>
          <w:szCs w:val="21"/>
        </w:rPr>
        <w:t>Eurofins</w:t>
      </w:r>
      <w:r>
        <w:rPr>
          <w:color w:val="00000A"/>
          <w:spacing w:val="17"/>
          <w:sz w:val="21"/>
          <w:szCs w:val="21"/>
        </w:rPr>
        <w:t xml:space="preserve"> </w:t>
      </w:r>
      <w:r>
        <w:rPr>
          <w:color w:val="00000A"/>
          <w:spacing w:val="-2"/>
          <w:sz w:val="21"/>
          <w:szCs w:val="21"/>
        </w:rPr>
        <w:t>Elect</w:t>
      </w:r>
      <w:r>
        <w:rPr>
          <w:color w:val="00000A"/>
          <w:spacing w:val="-3"/>
          <w:sz w:val="21"/>
          <w:szCs w:val="21"/>
        </w:rPr>
        <w:t>rical and</w:t>
      </w:r>
      <w:r>
        <w:rPr>
          <w:color w:val="00000A"/>
          <w:spacing w:val="16"/>
          <w:sz w:val="21"/>
          <w:szCs w:val="21"/>
        </w:rPr>
        <w:t xml:space="preserve"> </w:t>
      </w:r>
      <w:r>
        <w:rPr>
          <w:color w:val="00000A"/>
          <w:spacing w:val="-3"/>
          <w:sz w:val="21"/>
          <w:szCs w:val="21"/>
        </w:rPr>
        <w:t>Electronic Testing</w:t>
      </w:r>
      <w:r>
        <w:rPr>
          <w:color w:val="00000A"/>
          <w:spacing w:val="16"/>
          <w:sz w:val="21"/>
          <w:szCs w:val="21"/>
        </w:rPr>
        <w:t xml:space="preserve"> </w:t>
      </w:r>
      <w:r>
        <w:rPr>
          <w:color w:val="00000A"/>
          <w:spacing w:val="-3"/>
          <w:sz w:val="21"/>
          <w:szCs w:val="21"/>
        </w:rPr>
        <w:t>NA,</w:t>
      </w:r>
      <w:r>
        <w:rPr>
          <w:color w:val="00000A"/>
          <w:spacing w:val="20"/>
          <w:w w:val="101"/>
          <w:sz w:val="21"/>
          <w:szCs w:val="21"/>
        </w:rPr>
        <w:t xml:space="preserve"> </w:t>
      </w:r>
      <w:r>
        <w:rPr>
          <w:color w:val="00000A"/>
          <w:spacing w:val="-3"/>
          <w:sz w:val="21"/>
          <w:szCs w:val="21"/>
        </w:rPr>
        <w:t>Inc.</w:t>
      </w:r>
    </w:p>
    <w:p w14:paraId="10BBF1BA">
      <w:pPr>
        <w:pStyle w:val="2"/>
        <w:spacing w:before="114" w:line="196" w:lineRule="auto"/>
        <w:ind w:left="30"/>
        <w:rPr>
          <w:sz w:val="21"/>
          <w:szCs w:val="21"/>
        </w:rPr>
      </w:pPr>
      <w:r>
        <w:rPr>
          <w:color w:val="00000A"/>
          <w:spacing w:val="-2"/>
          <w:sz w:val="21"/>
          <w:szCs w:val="21"/>
        </w:rPr>
        <w:t>Notified</w:t>
      </w:r>
      <w:r>
        <w:rPr>
          <w:color w:val="00000A"/>
          <w:spacing w:val="15"/>
          <w:sz w:val="21"/>
          <w:szCs w:val="21"/>
        </w:rPr>
        <w:t xml:space="preserve"> </w:t>
      </w:r>
      <w:r>
        <w:rPr>
          <w:color w:val="00000A"/>
          <w:spacing w:val="-2"/>
          <w:sz w:val="21"/>
          <w:szCs w:val="21"/>
        </w:rPr>
        <w:t>Body</w:t>
      </w:r>
      <w:r>
        <w:rPr>
          <w:color w:val="00000A"/>
          <w:spacing w:val="15"/>
          <w:sz w:val="21"/>
          <w:szCs w:val="21"/>
        </w:rPr>
        <w:t xml:space="preserve"> </w:t>
      </w:r>
      <w:r>
        <w:rPr>
          <w:color w:val="00000A"/>
          <w:spacing w:val="-2"/>
          <w:sz w:val="21"/>
          <w:szCs w:val="21"/>
        </w:rPr>
        <w:t>Number: 0980</w:t>
      </w:r>
    </w:p>
    <w:p w14:paraId="712C4F6A">
      <w:pPr>
        <w:pStyle w:val="2"/>
        <w:spacing w:before="115" w:line="196" w:lineRule="auto"/>
        <w:ind w:left="30"/>
        <w:rPr>
          <w:sz w:val="21"/>
          <w:szCs w:val="21"/>
        </w:rPr>
      </w:pPr>
      <w:r>
        <w:rPr>
          <w:color w:val="00000A"/>
          <w:spacing w:val="-1"/>
          <w:sz w:val="21"/>
          <w:szCs w:val="21"/>
        </w:rPr>
        <w:t>Notified</w:t>
      </w:r>
      <w:r>
        <w:rPr>
          <w:color w:val="00000A"/>
          <w:spacing w:val="15"/>
          <w:w w:val="101"/>
          <w:sz w:val="21"/>
          <w:szCs w:val="21"/>
        </w:rPr>
        <w:t xml:space="preserve"> </w:t>
      </w:r>
      <w:r>
        <w:rPr>
          <w:color w:val="00000A"/>
          <w:spacing w:val="-1"/>
          <w:sz w:val="21"/>
          <w:szCs w:val="21"/>
        </w:rPr>
        <w:t>Body</w:t>
      </w:r>
      <w:r>
        <w:rPr>
          <w:color w:val="00000A"/>
          <w:spacing w:val="-13"/>
          <w:sz w:val="21"/>
          <w:szCs w:val="21"/>
        </w:rPr>
        <w:t xml:space="preserve"> </w:t>
      </w:r>
      <w:r>
        <w:rPr>
          <w:color w:val="00000A"/>
          <w:spacing w:val="-1"/>
          <w:sz w:val="21"/>
          <w:szCs w:val="21"/>
        </w:rPr>
        <w:t>Assessment</w:t>
      </w:r>
      <w:r>
        <w:rPr>
          <w:color w:val="00000A"/>
          <w:spacing w:val="17"/>
          <w:sz w:val="21"/>
          <w:szCs w:val="21"/>
        </w:rPr>
        <w:t xml:space="preserve"> </w:t>
      </w:r>
      <w:r>
        <w:rPr>
          <w:color w:val="00000A"/>
          <w:spacing w:val="-1"/>
          <w:sz w:val="21"/>
          <w:szCs w:val="21"/>
        </w:rPr>
        <w:t>Performed:</w:t>
      </w:r>
      <w:r>
        <w:rPr>
          <w:color w:val="00000A"/>
          <w:spacing w:val="16"/>
          <w:sz w:val="21"/>
          <w:szCs w:val="21"/>
        </w:rPr>
        <w:t xml:space="preserve"> </w:t>
      </w:r>
      <w:r>
        <w:rPr>
          <w:color w:val="00000A"/>
          <w:spacing w:val="-1"/>
          <w:sz w:val="21"/>
          <w:szCs w:val="21"/>
        </w:rPr>
        <w:t>Module</w:t>
      </w:r>
      <w:r>
        <w:rPr>
          <w:color w:val="00000A"/>
          <w:spacing w:val="15"/>
          <w:w w:val="101"/>
          <w:sz w:val="21"/>
          <w:szCs w:val="21"/>
        </w:rPr>
        <w:t xml:space="preserve"> </w:t>
      </w:r>
      <w:r>
        <w:rPr>
          <w:color w:val="00000A"/>
          <w:spacing w:val="-1"/>
          <w:sz w:val="21"/>
          <w:szCs w:val="21"/>
        </w:rPr>
        <w:t>B/C on</w:t>
      </w:r>
      <w:r>
        <w:rPr>
          <w:color w:val="00000A"/>
          <w:spacing w:val="-12"/>
          <w:sz w:val="21"/>
          <w:szCs w:val="21"/>
        </w:rPr>
        <w:t xml:space="preserve"> </w:t>
      </w:r>
      <w:r>
        <w:rPr>
          <w:color w:val="00000A"/>
          <w:spacing w:val="-1"/>
          <w:sz w:val="21"/>
          <w:szCs w:val="21"/>
        </w:rPr>
        <w:t xml:space="preserve">Article 3.1a, </w:t>
      </w:r>
      <w:r>
        <w:rPr>
          <w:color w:val="00000A"/>
          <w:spacing w:val="-2"/>
          <w:sz w:val="21"/>
          <w:szCs w:val="21"/>
        </w:rPr>
        <w:t>3.1b, 3.2</w:t>
      </w:r>
    </w:p>
    <w:p w14:paraId="26FD9E43">
      <w:pPr>
        <w:pStyle w:val="2"/>
        <w:spacing w:before="86" w:line="212" w:lineRule="auto"/>
        <w:jc w:val="left"/>
        <w:rPr>
          <w:rFonts w:ascii="宋体" w:hAnsi="宋体" w:eastAsia="宋体" w:cs="宋体"/>
          <w:sz w:val="21"/>
          <w:szCs w:val="21"/>
        </w:rPr>
        <w:sectPr>
          <w:pgSz w:w="11907" w:h="16839"/>
          <w:pgMar w:top="1431" w:right="1708" w:bottom="0" w:left="1785" w:header="0" w:footer="0" w:gutter="0"/>
          <w:cols w:space="720" w:num="1"/>
        </w:sectPr>
      </w:pPr>
      <w:r>
        <w:rPr>
          <w:color w:val="00000A"/>
          <w:sz w:val="21"/>
          <w:szCs w:val="21"/>
        </w:rPr>
        <w:t>EU-type examination cer</w:t>
      </w:r>
      <w:r>
        <w:rPr>
          <w:color w:val="00000A"/>
          <w:spacing w:val="-1"/>
          <w:sz w:val="21"/>
          <w:szCs w:val="21"/>
        </w:rPr>
        <w:t>tificate numbe</w:t>
      </w:r>
      <w:r>
        <w:rPr>
          <w:color w:val="00000A"/>
          <w:sz w:val="21"/>
          <w:szCs w:val="21"/>
        </w:rPr>
        <w:t xml:space="preserve">r: </w:t>
      </w:r>
      <w:r>
        <w:rPr>
          <w:rFonts w:hint="eastAsia"/>
          <w:color w:val="00000A"/>
          <w:sz w:val="21"/>
          <w:szCs w:val="21"/>
        </w:rPr>
        <w:t>3379-0</w:t>
      </w:r>
      <w:bookmarkStart w:id="0" w:name="_GoBack"/>
      <w:bookmarkEnd w:id="0"/>
      <w:r>
        <w:rPr>
          <w:rFonts w:hint="eastAsia"/>
          <w:color w:val="00000A"/>
          <w:sz w:val="21"/>
          <w:szCs w:val="21"/>
        </w:rPr>
        <w:t>8-2024-240629</w:t>
      </w:r>
    </w:p>
    <w:p w14:paraId="45E28939">
      <w:pPr>
        <w:pStyle w:val="2"/>
        <w:spacing w:before="96" w:line="199" w:lineRule="auto"/>
        <w:ind w:left="208"/>
        <w:rPr>
          <w:sz w:val="18"/>
          <w:szCs w:val="18"/>
        </w:rPr>
      </w:pPr>
      <w:r>
        <w:rPr>
          <w:color w:val="201F1F"/>
          <w:spacing w:val="-1"/>
          <w:sz w:val="18"/>
          <w:szCs w:val="18"/>
        </w:rPr>
        <w:t>RF Specification:</w:t>
      </w:r>
    </w:p>
    <w:p w14:paraId="6946F6F0">
      <w:pPr>
        <w:spacing w:line="52" w:lineRule="exact"/>
      </w:pPr>
    </w:p>
    <w:tbl>
      <w:tblPr>
        <w:tblStyle w:val="5"/>
        <w:tblW w:w="7425" w:type="dxa"/>
        <w:tblInd w:w="45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0"/>
        <w:gridCol w:w="3602"/>
        <w:gridCol w:w="1853"/>
      </w:tblGrid>
      <w:tr w14:paraId="096B01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970" w:type="dxa"/>
            <w:vAlign w:val="top"/>
          </w:tcPr>
          <w:p w14:paraId="10FB639F">
            <w:pPr>
              <w:pStyle w:val="6"/>
              <w:spacing w:before="253" w:line="194" w:lineRule="auto"/>
              <w:ind w:left="616"/>
            </w:pPr>
            <w:r>
              <w:rPr>
                <w:b/>
                <w:bCs/>
                <w:spacing w:val="-2"/>
              </w:rPr>
              <w:t>Function</w:t>
            </w:r>
          </w:p>
        </w:tc>
        <w:tc>
          <w:tcPr>
            <w:tcW w:w="3602" w:type="dxa"/>
            <w:vAlign w:val="top"/>
          </w:tcPr>
          <w:p w14:paraId="66492205">
            <w:pPr>
              <w:pStyle w:val="6"/>
              <w:spacing w:before="251" w:line="196" w:lineRule="auto"/>
              <w:ind w:left="901"/>
            </w:pPr>
            <w:r>
              <w:rPr>
                <w:b/>
                <w:bCs/>
                <w:spacing w:val="-2"/>
              </w:rPr>
              <w:t>Operation</w:t>
            </w:r>
            <w:r>
              <w:rPr>
                <w:b/>
                <w:bCs/>
                <w:spacing w:val="26"/>
                <w:w w:val="101"/>
              </w:rPr>
              <w:t xml:space="preserve"> </w:t>
            </w:r>
            <w:r>
              <w:rPr>
                <w:b/>
                <w:bCs/>
                <w:spacing w:val="-2"/>
              </w:rPr>
              <w:t>Frequency</w:t>
            </w:r>
          </w:p>
        </w:tc>
        <w:tc>
          <w:tcPr>
            <w:tcW w:w="1853" w:type="dxa"/>
            <w:vAlign w:val="top"/>
          </w:tcPr>
          <w:p w14:paraId="23F6D31A">
            <w:pPr>
              <w:pStyle w:val="6"/>
              <w:spacing w:before="97" w:line="194" w:lineRule="auto"/>
              <w:ind w:left="616"/>
            </w:pPr>
            <w:r>
              <w:rPr>
                <w:b/>
                <w:bCs/>
                <w:spacing w:val="-4"/>
              </w:rPr>
              <w:t>Max</w:t>
            </w:r>
            <w:r>
              <w:rPr>
                <w:b/>
                <w:bCs/>
                <w:spacing w:val="12"/>
              </w:rPr>
              <w:t xml:space="preserve"> </w:t>
            </w:r>
            <w:r>
              <w:rPr>
                <w:b/>
                <w:bCs/>
                <w:spacing w:val="-4"/>
              </w:rPr>
              <w:t>RF</w:t>
            </w:r>
          </w:p>
          <w:p w14:paraId="78FBFBF8">
            <w:pPr>
              <w:pStyle w:val="6"/>
              <w:spacing w:before="142" w:line="199" w:lineRule="auto"/>
              <w:ind w:left="355"/>
            </w:pPr>
            <w:r>
              <w:rPr>
                <w:b/>
                <w:bCs/>
                <w:spacing w:val="-1"/>
              </w:rPr>
              <w:t>outputpower:</w:t>
            </w:r>
          </w:p>
        </w:tc>
      </w:tr>
      <w:tr w14:paraId="7FB2C5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970" w:type="dxa"/>
            <w:vAlign w:val="top"/>
          </w:tcPr>
          <w:p w14:paraId="4E384EF4">
            <w:pPr>
              <w:pStyle w:val="6"/>
              <w:spacing w:before="90" w:line="196" w:lineRule="auto"/>
              <w:ind w:left="453"/>
            </w:pPr>
            <w:r>
              <w:rPr>
                <w:spacing w:val="-2"/>
              </w:rPr>
              <w:t>BT(BR+EDR)</w:t>
            </w:r>
          </w:p>
        </w:tc>
        <w:tc>
          <w:tcPr>
            <w:tcW w:w="3602" w:type="dxa"/>
            <w:vAlign w:val="top"/>
          </w:tcPr>
          <w:p w14:paraId="77B9DD7C">
            <w:pPr>
              <w:pStyle w:val="6"/>
              <w:spacing w:before="91" w:line="194" w:lineRule="auto"/>
              <w:ind w:left="982"/>
            </w:pPr>
            <w:r>
              <w:rPr>
                <w:spacing w:val="3"/>
              </w:rPr>
              <w:t>2402</w:t>
            </w:r>
            <w:r>
              <w:t>MHz</w:t>
            </w:r>
            <w:r>
              <w:rPr>
                <w:spacing w:val="3"/>
              </w:rPr>
              <w:t>-2480</w:t>
            </w:r>
            <w:r>
              <w:t>MHz</w:t>
            </w:r>
          </w:p>
        </w:tc>
        <w:tc>
          <w:tcPr>
            <w:tcW w:w="1853" w:type="dxa"/>
            <w:vAlign w:val="top"/>
          </w:tcPr>
          <w:p w14:paraId="78C5BF9C">
            <w:pPr>
              <w:pStyle w:val="6"/>
              <w:spacing w:before="97" w:line="179" w:lineRule="auto"/>
              <w:ind w:left="565"/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4.71</w:t>
            </w:r>
            <w:r>
              <w:rPr>
                <w:spacing w:val="-1"/>
              </w:rPr>
              <w:t>dBm</w:t>
            </w:r>
          </w:p>
        </w:tc>
      </w:tr>
      <w:tr w14:paraId="07C8D0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70" w:type="dxa"/>
            <w:vAlign w:val="top"/>
          </w:tcPr>
          <w:p w14:paraId="06147766">
            <w:pPr>
              <w:pStyle w:val="6"/>
              <w:spacing w:before="244" w:line="196" w:lineRule="auto"/>
              <w:ind w:left="611"/>
            </w:pPr>
            <w:r>
              <w:rPr>
                <w:spacing w:val="-3"/>
              </w:rPr>
              <w:t>GSM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900</w:t>
            </w:r>
          </w:p>
        </w:tc>
        <w:tc>
          <w:tcPr>
            <w:tcW w:w="3602" w:type="dxa"/>
            <w:vAlign w:val="top"/>
          </w:tcPr>
          <w:p w14:paraId="4B134DA8">
            <w:pPr>
              <w:pStyle w:val="6"/>
              <w:spacing w:before="86" w:line="291" w:lineRule="auto"/>
              <w:ind w:left="639" w:right="626" w:firstLine="89"/>
            </w:pPr>
            <w:r>
              <w:rPr>
                <w:spacing w:val="-1"/>
              </w:rPr>
              <w:t>TX(Uplink):880M</w:t>
            </w:r>
            <w:r>
              <w:rPr>
                <w:rFonts w:ascii="Calibri" w:hAnsi="Calibri" w:eastAsia="Calibri" w:cs="Calibri"/>
                <w:spacing w:val="-1"/>
              </w:rPr>
              <w:t>-</w:t>
            </w:r>
            <w:r>
              <w:rPr>
                <w:spacing w:val="-1"/>
              </w:rPr>
              <w:t>915MHZ;</w:t>
            </w:r>
            <w:r>
              <w:rPr>
                <w:spacing w:val="5"/>
              </w:rPr>
              <w:t xml:space="preserve">   </w:t>
            </w:r>
            <w:r>
              <w:rPr>
                <w:spacing w:val="-1"/>
              </w:rPr>
              <w:t>RX(Downlink):925M</w:t>
            </w:r>
            <w:r>
              <w:rPr>
                <w:rFonts w:ascii="Calibri" w:hAnsi="Calibri" w:eastAsia="Calibri" w:cs="Calibri"/>
                <w:spacing w:val="-1"/>
              </w:rPr>
              <w:t>-</w:t>
            </w:r>
            <w:r>
              <w:rPr>
                <w:spacing w:val="-1"/>
              </w:rPr>
              <w:t>960MHZ</w:t>
            </w:r>
          </w:p>
        </w:tc>
        <w:tc>
          <w:tcPr>
            <w:tcW w:w="1853" w:type="dxa"/>
            <w:vAlign w:val="top"/>
          </w:tcPr>
          <w:p w14:paraId="53576885">
            <w:pPr>
              <w:pStyle w:val="6"/>
              <w:spacing w:before="246" w:line="194" w:lineRule="auto"/>
              <w:ind w:left="520"/>
            </w:pPr>
            <w:r>
              <w:rPr>
                <w:spacing w:val="-2"/>
              </w:rPr>
              <w:t>32.68dBm</w:t>
            </w:r>
          </w:p>
        </w:tc>
      </w:tr>
      <w:tr w14:paraId="7C3CA5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970" w:type="dxa"/>
            <w:vAlign w:val="top"/>
          </w:tcPr>
          <w:p w14:paraId="5BD501D4">
            <w:pPr>
              <w:pStyle w:val="6"/>
              <w:spacing w:before="244" w:line="196" w:lineRule="auto"/>
              <w:ind w:left="562"/>
            </w:pPr>
            <w:r>
              <w:rPr>
                <w:spacing w:val="-4"/>
              </w:rPr>
              <w:t>GSM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4"/>
              </w:rPr>
              <w:t>1800</w:t>
            </w:r>
          </w:p>
        </w:tc>
        <w:tc>
          <w:tcPr>
            <w:tcW w:w="3602" w:type="dxa"/>
            <w:vAlign w:val="top"/>
          </w:tcPr>
          <w:p w14:paraId="718FCDBF">
            <w:pPr>
              <w:pStyle w:val="6"/>
              <w:spacing w:before="86" w:line="290" w:lineRule="auto"/>
              <w:ind w:left="540" w:right="525" w:firstLine="89"/>
            </w:pPr>
            <w:r>
              <w:rPr>
                <w:spacing w:val="-1"/>
              </w:rPr>
              <w:t>TX(Uplink):1710M</w:t>
            </w:r>
            <w:r>
              <w:rPr>
                <w:rFonts w:ascii="Calibri" w:hAnsi="Calibri" w:eastAsia="Calibri" w:cs="Calibri"/>
                <w:spacing w:val="-1"/>
              </w:rPr>
              <w:t>-</w:t>
            </w:r>
            <w:r>
              <w:rPr>
                <w:spacing w:val="-1"/>
              </w:rPr>
              <w:t>1785MHZ;</w:t>
            </w:r>
            <w:r>
              <w:rPr>
                <w:spacing w:val="6"/>
              </w:rPr>
              <w:t xml:space="preserve">   </w:t>
            </w:r>
            <w:r>
              <w:rPr>
                <w:spacing w:val="-1"/>
              </w:rPr>
              <w:t>RX(Downlink):1805M</w:t>
            </w:r>
            <w:r>
              <w:rPr>
                <w:rFonts w:ascii="Calibri" w:hAnsi="Calibri" w:eastAsia="Calibri" w:cs="Calibri"/>
                <w:spacing w:val="-1"/>
              </w:rPr>
              <w:t>-</w:t>
            </w:r>
            <w:r>
              <w:rPr>
                <w:spacing w:val="-1"/>
              </w:rPr>
              <w:t>1880MHZ</w:t>
            </w:r>
          </w:p>
        </w:tc>
        <w:tc>
          <w:tcPr>
            <w:tcW w:w="1853" w:type="dxa"/>
            <w:vAlign w:val="top"/>
          </w:tcPr>
          <w:p w14:paraId="59DE1E1B">
            <w:pPr>
              <w:pStyle w:val="6"/>
              <w:spacing w:before="246" w:line="194" w:lineRule="auto"/>
              <w:ind w:left="517"/>
            </w:pPr>
            <w:r>
              <w:rPr>
                <w:spacing w:val="-1"/>
              </w:rPr>
              <w:t>29.23dBm</w:t>
            </w:r>
          </w:p>
        </w:tc>
      </w:tr>
      <w:tr w14:paraId="394715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70" w:type="dxa"/>
            <w:vAlign w:val="top"/>
          </w:tcPr>
          <w:p w14:paraId="3D5AF37C">
            <w:pPr>
              <w:pStyle w:val="6"/>
              <w:spacing w:before="246" w:line="196" w:lineRule="auto"/>
              <w:ind w:left="504"/>
            </w:pPr>
            <w:r>
              <w:rPr>
                <w:spacing w:val="-1"/>
              </w:rPr>
              <w:t>WCDMA B1</w:t>
            </w:r>
          </w:p>
        </w:tc>
        <w:tc>
          <w:tcPr>
            <w:tcW w:w="3602" w:type="dxa"/>
            <w:vAlign w:val="top"/>
          </w:tcPr>
          <w:p w14:paraId="280738A3">
            <w:pPr>
              <w:pStyle w:val="6"/>
              <w:spacing w:before="91" w:line="306" w:lineRule="auto"/>
              <w:ind w:left="628" w:right="616" w:firstLine="83"/>
            </w:pPr>
            <w:r>
              <w:rPr>
                <w:spacing w:val="-1"/>
              </w:rPr>
              <w:t>TX(Uplink):1920-1980MHz;</w:t>
            </w:r>
            <w:r>
              <w:rPr>
                <w:spacing w:val="5"/>
              </w:rPr>
              <w:t xml:space="preserve">   </w:t>
            </w:r>
            <w:r>
              <w:rPr>
                <w:spacing w:val="-1"/>
              </w:rPr>
              <w:t>RX(Downlink):2110-2</w:t>
            </w:r>
            <w:r>
              <w:rPr>
                <w:spacing w:val="-2"/>
              </w:rPr>
              <w:t>170MHz</w:t>
            </w:r>
          </w:p>
        </w:tc>
        <w:tc>
          <w:tcPr>
            <w:tcW w:w="1853" w:type="dxa"/>
            <w:vAlign w:val="top"/>
          </w:tcPr>
          <w:p w14:paraId="706272D5">
            <w:pPr>
              <w:pStyle w:val="6"/>
              <w:spacing w:before="248" w:line="194" w:lineRule="auto"/>
              <w:ind w:left="517"/>
            </w:pPr>
            <w:r>
              <w:rPr>
                <w:spacing w:val="-1"/>
              </w:rPr>
              <w:t>22.58dBm</w:t>
            </w:r>
          </w:p>
        </w:tc>
      </w:tr>
      <w:tr w14:paraId="67B8AA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970" w:type="dxa"/>
            <w:vAlign w:val="top"/>
          </w:tcPr>
          <w:p w14:paraId="41F90D6B">
            <w:pPr>
              <w:pStyle w:val="6"/>
              <w:spacing w:before="245" w:line="196" w:lineRule="auto"/>
              <w:ind w:left="504"/>
            </w:pPr>
            <w:r>
              <w:rPr>
                <w:spacing w:val="-1"/>
              </w:rPr>
              <w:t>WCDMA B8</w:t>
            </w:r>
          </w:p>
        </w:tc>
        <w:tc>
          <w:tcPr>
            <w:tcW w:w="3602" w:type="dxa"/>
            <w:vAlign w:val="top"/>
          </w:tcPr>
          <w:p w14:paraId="435F13D8">
            <w:pPr>
              <w:pStyle w:val="6"/>
              <w:spacing w:before="90" w:line="306" w:lineRule="auto"/>
              <w:ind w:left="722" w:right="709" w:firstLine="64"/>
            </w:pPr>
            <w:r>
              <w:rPr>
                <w:spacing w:val="-1"/>
              </w:rPr>
              <w:t>TX(Uplink): 880-915MHz;</w:t>
            </w:r>
            <w:r>
              <w:rPr>
                <w:spacing w:val="8"/>
              </w:rPr>
              <w:t xml:space="preserve">  </w:t>
            </w:r>
            <w:r>
              <w:rPr>
                <w:spacing w:val="-1"/>
              </w:rPr>
              <w:t>RX(Downlink):925-960MHz</w:t>
            </w:r>
          </w:p>
        </w:tc>
        <w:tc>
          <w:tcPr>
            <w:tcW w:w="1853" w:type="dxa"/>
            <w:vAlign w:val="top"/>
          </w:tcPr>
          <w:p w14:paraId="2B009321">
            <w:pPr>
              <w:pStyle w:val="6"/>
              <w:spacing w:before="247" w:line="194" w:lineRule="auto"/>
              <w:ind w:left="519"/>
            </w:pPr>
            <w:r>
              <w:rPr>
                <w:spacing w:val="-1"/>
              </w:rPr>
              <w:t>22.87dBm</w:t>
            </w:r>
          </w:p>
        </w:tc>
      </w:tr>
      <w:tr w14:paraId="0179E5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970" w:type="dxa"/>
            <w:vAlign w:val="top"/>
          </w:tcPr>
          <w:p w14:paraId="06245ECE">
            <w:pPr>
              <w:pStyle w:val="6"/>
              <w:spacing w:before="248" w:line="194" w:lineRule="auto"/>
              <w:ind w:left="492"/>
            </w:pPr>
            <w:r>
              <w:rPr>
                <w:spacing w:val="-6"/>
              </w:rPr>
              <w:t>LTE</w:t>
            </w:r>
            <w:r>
              <w:rPr>
                <w:spacing w:val="13"/>
                <w:w w:val="101"/>
              </w:rPr>
              <w:t xml:space="preserve"> </w:t>
            </w:r>
            <w:r>
              <w:rPr>
                <w:spacing w:val="-6"/>
              </w:rPr>
              <w:t>FDD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B1</w:t>
            </w:r>
          </w:p>
        </w:tc>
        <w:tc>
          <w:tcPr>
            <w:tcW w:w="3602" w:type="dxa"/>
            <w:vAlign w:val="top"/>
          </w:tcPr>
          <w:p w14:paraId="79E5E6A9">
            <w:pPr>
              <w:pStyle w:val="6"/>
              <w:spacing w:before="90" w:line="306" w:lineRule="auto"/>
              <w:ind w:left="628" w:right="616" w:firstLine="83"/>
            </w:pPr>
            <w:r>
              <w:rPr>
                <w:spacing w:val="-1"/>
              </w:rPr>
              <w:t>TX(Uplink):1920-1980MHz;</w:t>
            </w:r>
            <w:r>
              <w:rPr>
                <w:spacing w:val="5"/>
              </w:rPr>
              <w:t xml:space="preserve">   </w:t>
            </w:r>
            <w:r>
              <w:rPr>
                <w:spacing w:val="-1"/>
              </w:rPr>
              <w:t>RX(Downlink):2110-2</w:t>
            </w:r>
            <w:r>
              <w:rPr>
                <w:spacing w:val="-2"/>
              </w:rPr>
              <w:t>170MHz</w:t>
            </w:r>
          </w:p>
        </w:tc>
        <w:tc>
          <w:tcPr>
            <w:tcW w:w="1853" w:type="dxa"/>
            <w:vAlign w:val="top"/>
          </w:tcPr>
          <w:p w14:paraId="0AFEAC71">
            <w:pPr>
              <w:pStyle w:val="6"/>
              <w:spacing w:before="248" w:line="194" w:lineRule="auto"/>
              <w:ind w:left="519"/>
            </w:pPr>
            <w:r>
              <w:rPr>
                <w:spacing w:val="-1"/>
              </w:rPr>
              <w:t>23.29dBm</w:t>
            </w:r>
          </w:p>
        </w:tc>
      </w:tr>
      <w:tr w14:paraId="7CF634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970" w:type="dxa"/>
            <w:vAlign w:val="top"/>
          </w:tcPr>
          <w:p w14:paraId="63C8F09A">
            <w:pPr>
              <w:pStyle w:val="6"/>
              <w:spacing w:before="250" w:line="194" w:lineRule="auto"/>
              <w:ind w:left="492"/>
            </w:pPr>
            <w:r>
              <w:rPr>
                <w:spacing w:val="-6"/>
              </w:rPr>
              <w:t>LTE</w:t>
            </w:r>
            <w:r>
              <w:rPr>
                <w:spacing w:val="13"/>
                <w:w w:val="101"/>
              </w:rPr>
              <w:t xml:space="preserve"> </w:t>
            </w:r>
            <w:r>
              <w:rPr>
                <w:spacing w:val="-6"/>
              </w:rPr>
              <w:t>FDD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B3</w:t>
            </w:r>
          </w:p>
        </w:tc>
        <w:tc>
          <w:tcPr>
            <w:tcW w:w="3602" w:type="dxa"/>
            <w:vAlign w:val="top"/>
          </w:tcPr>
          <w:p w14:paraId="1EC86640">
            <w:pPr>
              <w:pStyle w:val="6"/>
              <w:spacing w:before="92" w:line="305" w:lineRule="auto"/>
              <w:ind w:left="621" w:right="608" w:firstLine="65"/>
            </w:pPr>
            <w:r>
              <w:rPr>
                <w:spacing w:val="-1"/>
              </w:rPr>
              <w:t>TX(Uplink)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:1710-1785MHz;</w:t>
            </w:r>
            <w:r>
              <w:t xml:space="preserve">  </w:t>
            </w:r>
            <w:r>
              <w:rPr>
                <w:spacing w:val="-1"/>
              </w:rPr>
              <w:t>RX(Downlink):1805-1880MHz</w:t>
            </w:r>
          </w:p>
        </w:tc>
        <w:tc>
          <w:tcPr>
            <w:tcW w:w="1853" w:type="dxa"/>
            <w:vAlign w:val="top"/>
          </w:tcPr>
          <w:p w14:paraId="0340C838">
            <w:pPr>
              <w:pStyle w:val="6"/>
              <w:spacing w:before="250" w:line="194" w:lineRule="auto"/>
              <w:ind w:left="525"/>
            </w:pPr>
            <w:r>
              <w:rPr>
                <w:spacing w:val="-3"/>
              </w:rPr>
              <w:t>23.11dBm</w:t>
            </w:r>
          </w:p>
        </w:tc>
      </w:tr>
      <w:tr w14:paraId="1811D4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970" w:type="dxa"/>
            <w:vAlign w:val="top"/>
          </w:tcPr>
          <w:p w14:paraId="6C97DB38">
            <w:pPr>
              <w:pStyle w:val="6"/>
              <w:spacing w:before="249" w:line="194" w:lineRule="auto"/>
              <w:ind w:left="492"/>
            </w:pPr>
            <w:r>
              <w:rPr>
                <w:spacing w:val="-6"/>
              </w:rPr>
              <w:t>LTE</w:t>
            </w:r>
            <w:r>
              <w:rPr>
                <w:spacing w:val="13"/>
                <w:w w:val="101"/>
              </w:rPr>
              <w:t xml:space="preserve"> </w:t>
            </w:r>
            <w:r>
              <w:rPr>
                <w:spacing w:val="-6"/>
              </w:rPr>
              <w:t>FDD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B7</w:t>
            </w:r>
          </w:p>
        </w:tc>
        <w:tc>
          <w:tcPr>
            <w:tcW w:w="3602" w:type="dxa"/>
            <w:vAlign w:val="top"/>
          </w:tcPr>
          <w:p w14:paraId="2179F091">
            <w:pPr>
              <w:pStyle w:val="6"/>
              <w:spacing w:before="91" w:line="305" w:lineRule="auto"/>
              <w:ind w:left="621" w:right="608" w:firstLine="65"/>
            </w:pPr>
            <w:r>
              <w:rPr>
                <w:spacing w:val="-1"/>
              </w:rPr>
              <w:t>TX(Uplink)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:2500-2570MHz;</w:t>
            </w:r>
            <w:r>
              <w:t xml:space="preserve">  </w:t>
            </w:r>
            <w:r>
              <w:rPr>
                <w:spacing w:val="-1"/>
              </w:rPr>
              <w:t>RX(Downlink):2620-2690MHz</w:t>
            </w:r>
          </w:p>
        </w:tc>
        <w:tc>
          <w:tcPr>
            <w:tcW w:w="1853" w:type="dxa"/>
            <w:vAlign w:val="top"/>
          </w:tcPr>
          <w:p w14:paraId="3D81145C">
            <w:pPr>
              <w:pStyle w:val="6"/>
              <w:spacing w:before="249" w:line="194" w:lineRule="auto"/>
              <w:ind w:left="517"/>
            </w:pPr>
            <w:r>
              <w:rPr>
                <w:spacing w:val="-1"/>
              </w:rPr>
              <w:t>22.58dBm</w:t>
            </w:r>
          </w:p>
        </w:tc>
      </w:tr>
      <w:tr w14:paraId="0476D1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970" w:type="dxa"/>
            <w:vAlign w:val="top"/>
          </w:tcPr>
          <w:p w14:paraId="17AF6463">
            <w:pPr>
              <w:pStyle w:val="6"/>
              <w:spacing w:before="250" w:line="194" w:lineRule="auto"/>
              <w:ind w:left="492"/>
            </w:pPr>
            <w:r>
              <w:rPr>
                <w:spacing w:val="-6"/>
              </w:rPr>
              <w:t>LTE</w:t>
            </w:r>
            <w:r>
              <w:rPr>
                <w:spacing w:val="13"/>
                <w:w w:val="101"/>
              </w:rPr>
              <w:t xml:space="preserve"> </w:t>
            </w:r>
            <w:r>
              <w:rPr>
                <w:spacing w:val="-6"/>
              </w:rPr>
              <w:t>FDD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B8</w:t>
            </w:r>
          </w:p>
        </w:tc>
        <w:tc>
          <w:tcPr>
            <w:tcW w:w="3602" w:type="dxa"/>
            <w:vAlign w:val="top"/>
          </w:tcPr>
          <w:p w14:paraId="5B9C8663">
            <w:pPr>
              <w:pStyle w:val="6"/>
              <w:spacing w:before="91" w:line="305" w:lineRule="auto"/>
              <w:ind w:left="367" w:right="355" w:firstLine="139"/>
            </w:pPr>
            <w:r>
              <w:rPr>
                <w:spacing w:val="-1"/>
              </w:rPr>
              <w:t>TX(Uplink): 880MHz to 915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"/>
              </w:rPr>
              <w:t>MHz</w:t>
            </w:r>
            <w:r>
              <w:t xml:space="preserve">    </w:t>
            </w:r>
            <w:r>
              <w:rPr>
                <w:spacing w:val="-2"/>
              </w:rPr>
              <w:t>RX(Downlink): 925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2"/>
              </w:rPr>
              <w:t>MHz to 960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MHz</w:t>
            </w:r>
          </w:p>
        </w:tc>
        <w:tc>
          <w:tcPr>
            <w:tcW w:w="1853" w:type="dxa"/>
            <w:vAlign w:val="top"/>
          </w:tcPr>
          <w:p w14:paraId="7BF5D797">
            <w:pPr>
              <w:pStyle w:val="6"/>
              <w:spacing w:before="250" w:line="194" w:lineRule="auto"/>
              <w:ind w:left="493"/>
            </w:pPr>
            <w:r>
              <w:rPr>
                <w:spacing w:val="-1"/>
              </w:rPr>
              <w:t>23.06 dBm</w:t>
            </w:r>
          </w:p>
        </w:tc>
      </w:tr>
      <w:tr w14:paraId="0CBB1F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970" w:type="dxa"/>
            <w:vAlign w:val="top"/>
          </w:tcPr>
          <w:p w14:paraId="2D9BB1A7">
            <w:pPr>
              <w:pStyle w:val="6"/>
              <w:spacing w:before="252" w:line="194" w:lineRule="auto"/>
              <w:ind w:left="442"/>
            </w:pPr>
            <w:r>
              <w:rPr>
                <w:spacing w:val="-6"/>
              </w:rPr>
              <w:t>LTE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6"/>
              </w:rPr>
              <w:t>FDD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B20</w:t>
            </w:r>
          </w:p>
        </w:tc>
        <w:tc>
          <w:tcPr>
            <w:tcW w:w="3602" w:type="dxa"/>
            <w:vAlign w:val="top"/>
          </w:tcPr>
          <w:p w14:paraId="5BDF46DC">
            <w:pPr>
              <w:pStyle w:val="6"/>
              <w:spacing w:before="94" w:line="196" w:lineRule="auto"/>
              <w:ind w:left="579"/>
            </w:pPr>
            <w:r>
              <w:t>TX(Uplink): 832MHz~86</w:t>
            </w:r>
            <w:r>
              <w:rPr>
                <w:spacing w:val="-1"/>
              </w:rPr>
              <w:t>2MHz;</w:t>
            </w:r>
          </w:p>
          <w:p w14:paraId="7B9D76DE">
            <w:pPr>
              <w:pStyle w:val="6"/>
              <w:spacing w:before="142" w:line="196" w:lineRule="auto"/>
              <w:ind w:left="489"/>
            </w:pPr>
            <w:r>
              <w:rPr>
                <w:spacing w:val="-1"/>
              </w:rPr>
              <w:t>RX(Downlink): 791MHz~821MHz</w:t>
            </w:r>
          </w:p>
        </w:tc>
        <w:tc>
          <w:tcPr>
            <w:tcW w:w="1853" w:type="dxa"/>
            <w:vAlign w:val="top"/>
          </w:tcPr>
          <w:p w14:paraId="66E476EE">
            <w:pPr>
              <w:pStyle w:val="6"/>
              <w:spacing w:before="252" w:line="194" w:lineRule="auto"/>
              <w:ind w:left="517"/>
            </w:pPr>
            <w:r>
              <w:rPr>
                <w:spacing w:val="-1"/>
              </w:rPr>
              <w:t>23.56dBm</w:t>
            </w:r>
          </w:p>
        </w:tc>
      </w:tr>
      <w:tr w14:paraId="410DD4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970" w:type="dxa"/>
            <w:vAlign w:val="top"/>
          </w:tcPr>
          <w:p w14:paraId="0FFE368D">
            <w:pPr>
              <w:pStyle w:val="6"/>
              <w:spacing w:before="95" w:line="194" w:lineRule="auto"/>
              <w:ind w:left="867"/>
            </w:pPr>
            <w:r>
              <w:rPr>
                <w:spacing w:val="-4"/>
              </w:rPr>
              <w:t>FM</w:t>
            </w:r>
          </w:p>
        </w:tc>
        <w:tc>
          <w:tcPr>
            <w:tcW w:w="3602" w:type="dxa"/>
            <w:vAlign w:val="top"/>
          </w:tcPr>
          <w:p w14:paraId="730563A6">
            <w:pPr>
              <w:pStyle w:val="6"/>
              <w:spacing w:before="95" w:line="194" w:lineRule="auto"/>
              <w:ind w:left="905"/>
            </w:pPr>
            <w:r>
              <w:rPr>
                <w:spacing w:val="-1"/>
              </w:rPr>
              <w:t>Rx: 87.5MHz~108MHz</w:t>
            </w:r>
          </w:p>
        </w:tc>
        <w:tc>
          <w:tcPr>
            <w:tcW w:w="1853" w:type="dxa"/>
            <w:vAlign w:val="top"/>
          </w:tcPr>
          <w:p w14:paraId="2332B5EE">
            <w:pPr>
              <w:pStyle w:val="6"/>
              <w:spacing w:before="169" w:line="93" w:lineRule="exact"/>
              <w:ind w:left="868"/>
            </w:pPr>
            <w:r>
              <w:rPr>
                <w:spacing w:val="-2"/>
                <w:position w:val="-6"/>
              </w:rPr>
              <w:t>--</w:t>
            </w:r>
          </w:p>
        </w:tc>
      </w:tr>
    </w:tbl>
    <w:p w14:paraId="1E0C0C00">
      <w:pPr>
        <w:pStyle w:val="2"/>
        <w:rPr>
          <w:sz w:val="21"/>
        </w:rPr>
      </w:pPr>
    </w:p>
    <w:p w14:paraId="6457DB57">
      <w:pPr>
        <w:rPr>
          <w:sz w:val="21"/>
          <w:szCs w:val="21"/>
        </w:rPr>
        <w:sectPr>
          <w:pgSz w:w="11907" w:h="16839"/>
          <w:pgMar w:top="1431" w:right="1785" w:bottom="0" w:left="1785" w:header="0" w:footer="0" w:gutter="0"/>
          <w:cols w:space="720" w:num="1"/>
        </w:sectPr>
      </w:pPr>
    </w:p>
    <w:p w14:paraId="27040D16">
      <w:pPr>
        <w:pStyle w:val="2"/>
        <w:spacing w:before="97" w:line="196" w:lineRule="auto"/>
        <w:ind w:left="18"/>
        <w:rPr>
          <w:sz w:val="18"/>
          <w:szCs w:val="18"/>
        </w:rPr>
      </w:pPr>
      <w:r>
        <w:rPr>
          <w:color w:val="201F1F"/>
          <w:sz w:val="18"/>
          <w:szCs w:val="18"/>
        </w:rPr>
        <w:t>Tests for SAR are conducted using standard oper</w:t>
      </w:r>
      <w:r>
        <w:rPr>
          <w:color w:val="201F1F"/>
          <w:spacing w:val="-1"/>
          <w:sz w:val="18"/>
          <w:szCs w:val="18"/>
        </w:rPr>
        <w:t>ating</w:t>
      </w:r>
      <w:r>
        <w:rPr>
          <w:color w:val="201F1F"/>
          <w:spacing w:val="11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positions with</w:t>
      </w:r>
      <w:r>
        <w:rPr>
          <w:color w:val="201F1F"/>
          <w:spacing w:val="3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the</w:t>
      </w:r>
      <w:r>
        <w:rPr>
          <w:color w:val="201F1F"/>
          <w:spacing w:val="7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device</w:t>
      </w:r>
      <w:r>
        <w:rPr>
          <w:color w:val="201F1F"/>
          <w:spacing w:val="3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transmitting</w:t>
      </w:r>
      <w:r>
        <w:rPr>
          <w:color w:val="201F1F"/>
          <w:spacing w:val="6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at</w:t>
      </w:r>
      <w:r>
        <w:rPr>
          <w:color w:val="201F1F"/>
          <w:spacing w:val="12"/>
          <w:w w:val="101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its</w:t>
      </w:r>
    </w:p>
    <w:p w14:paraId="43A44072">
      <w:pPr>
        <w:pStyle w:val="2"/>
        <w:spacing w:before="141" w:line="328" w:lineRule="auto"/>
        <w:ind w:left="20" w:right="678" w:firstLine="5"/>
        <w:rPr>
          <w:sz w:val="18"/>
          <w:szCs w:val="18"/>
        </w:rPr>
      </w:pPr>
      <w:r>
        <w:rPr>
          <w:color w:val="201F1F"/>
          <w:spacing w:val="-1"/>
          <w:sz w:val="18"/>
          <w:szCs w:val="18"/>
        </w:rPr>
        <w:t>highest certified</w:t>
      </w:r>
      <w:r>
        <w:rPr>
          <w:color w:val="201F1F"/>
          <w:spacing w:val="25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power level</w:t>
      </w:r>
      <w:r>
        <w:rPr>
          <w:color w:val="201F1F"/>
          <w:spacing w:val="12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in all tested frequency bands. The</w:t>
      </w:r>
      <w:r>
        <w:rPr>
          <w:color w:val="201F1F"/>
          <w:spacing w:val="11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maximum</w:t>
      </w:r>
      <w:r>
        <w:rPr>
          <w:color w:val="201F1F"/>
          <w:spacing w:val="12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SAR</w:t>
      </w:r>
      <w:r>
        <w:rPr>
          <w:color w:val="201F1F"/>
          <w:spacing w:val="2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values</w:t>
      </w:r>
      <w:r>
        <w:rPr>
          <w:color w:val="201F1F"/>
          <w:spacing w:val="3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tested</w:t>
      </w:r>
      <w:r>
        <w:rPr>
          <w:color w:val="201F1F"/>
          <w:spacing w:val="6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on</w:t>
      </w:r>
      <w:r>
        <w:rPr>
          <w:color w:val="201F1F"/>
          <w:spacing w:val="4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this</w:t>
      </w:r>
      <w:r>
        <w:rPr>
          <w:color w:val="201F1F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device when</w:t>
      </w:r>
      <w:r>
        <w:rPr>
          <w:color w:val="201F1F"/>
          <w:spacing w:val="11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used in</w:t>
      </w:r>
      <w:r>
        <w:rPr>
          <w:color w:val="201F1F"/>
          <w:spacing w:val="12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its</w:t>
      </w:r>
      <w:r>
        <w:rPr>
          <w:color w:val="201F1F"/>
          <w:spacing w:val="12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normal position at the ear</w:t>
      </w:r>
      <w:r>
        <w:rPr>
          <w:color w:val="201F1F"/>
          <w:spacing w:val="4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an</w:t>
      </w:r>
      <w:r>
        <w:rPr>
          <w:color w:val="201F1F"/>
          <w:spacing w:val="-2"/>
          <w:sz w:val="18"/>
          <w:szCs w:val="18"/>
        </w:rPr>
        <w:t>d</w:t>
      </w:r>
      <w:r>
        <w:rPr>
          <w:color w:val="201F1F"/>
          <w:spacing w:val="3"/>
          <w:sz w:val="18"/>
          <w:szCs w:val="18"/>
        </w:rPr>
        <w:t xml:space="preserve"> </w:t>
      </w:r>
      <w:r>
        <w:rPr>
          <w:color w:val="201F1F"/>
          <w:spacing w:val="-2"/>
          <w:sz w:val="18"/>
          <w:szCs w:val="18"/>
        </w:rPr>
        <w:t>when</w:t>
      </w:r>
      <w:r>
        <w:rPr>
          <w:color w:val="201F1F"/>
          <w:spacing w:val="11"/>
          <w:sz w:val="18"/>
          <w:szCs w:val="18"/>
        </w:rPr>
        <w:t xml:space="preserve"> </w:t>
      </w:r>
      <w:r>
        <w:rPr>
          <w:color w:val="201F1F"/>
          <w:spacing w:val="-2"/>
          <w:sz w:val="18"/>
          <w:szCs w:val="18"/>
        </w:rPr>
        <w:t>used</w:t>
      </w:r>
      <w:r>
        <w:rPr>
          <w:color w:val="201F1F"/>
          <w:spacing w:val="6"/>
          <w:sz w:val="18"/>
          <w:szCs w:val="18"/>
        </w:rPr>
        <w:t xml:space="preserve"> </w:t>
      </w:r>
      <w:r>
        <w:rPr>
          <w:color w:val="201F1F"/>
          <w:spacing w:val="-2"/>
          <w:sz w:val="18"/>
          <w:szCs w:val="18"/>
        </w:rPr>
        <w:t>close</w:t>
      </w:r>
      <w:r>
        <w:rPr>
          <w:color w:val="201F1F"/>
          <w:spacing w:val="3"/>
          <w:sz w:val="18"/>
          <w:szCs w:val="18"/>
        </w:rPr>
        <w:t xml:space="preserve"> </w:t>
      </w:r>
      <w:r>
        <w:rPr>
          <w:color w:val="201F1F"/>
          <w:spacing w:val="-2"/>
          <w:sz w:val="18"/>
          <w:szCs w:val="18"/>
        </w:rPr>
        <w:t>to</w:t>
      </w:r>
      <w:r>
        <w:rPr>
          <w:color w:val="201F1F"/>
          <w:spacing w:val="4"/>
          <w:sz w:val="18"/>
          <w:szCs w:val="18"/>
        </w:rPr>
        <w:t xml:space="preserve"> </w:t>
      </w:r>
      <w:r>
        <w:rPr>
          <w:color w:val="201F1F"/>
          <w:spacing w:val="-2"/>
          <w:sz w:val="18"/>
          <w:szCs w:val="18"/>
        </w:rPr>
        <w:t>the</w:t>
      </w:r>
      <w:r>
        <w:rPr>
          <w:color w:val="201F1F"/>
          <w:spacing w:val="10"/>
          <w:sz w:val="18"/>
          <w:szCs w:val="18"/>
        </w:rPr>
        <w:t xml:space="preserve"> </w:t>
      </w:r>
      <w:r>
        <w:rPr>
          <w:color w:val="201F1F"/>
          <w:spacing w:val="-2"/>
          <w:sz w:val="18"/>
          <w:szCs w:val="18"/>
        </w:rPr>
        <w:t>body</w:t>
      </w:r>
      <w:r>
        <w:rPr>
          <w:color w:val="201F1F"/>
          <w:spacing w:val="10"/>
          <w:sz w:val="18"/>
          <w:szCs w:val="18"/>
        </w:rPr>
        <w:t xml:space="preserve"> </w:t>
      </w:r>
      <w:r>
        <w:rPr>
          <w:color w:val="201F1F"/>
          <w:spacing w:val="-2"/>
          <w:sz w:val="18"/>
          <w:szCs w:val="18"/>
        </w:rPr>
        <w:t>(at</w:t>
      </w:r>
      <w:r>
        <w:rPr>
          <w:color w:val="201F1F"/>
          <w:spacing w:val="7"/>
          <w:sz w:val="18"/>
          <w:szCs w:val="18"/>
        </w:rPr>
        <w:t xml:space="preserve"> </w:t>
      </w:r>
      <w:r>
        <w:rPr>
          <w:color w:val="201F1F"/>
          <w:spacing w:val="-2"/>
          <w:sz w:val="18"/>
          <w:szCs w:val="18"/>
        </w:rPr>
        <w:t>a</w:t>
      </w:r>
      <w:r>
        <w:rPr>
          <w:color w:val="201F1F"/>
          <w:spacing w:val="13"/>
          <w:sz w:val="18"/>
          <w:szCs w:val="18"/>
        </w:rPr>
        <w:t xml:space="preserve"> </w:t>
      </w:r>
      <w:r>
        <w:rPr>
          <w:color w:val="201F1F"/>
          <w:spacing w:val="-2"/>
          <w:sz w:val="18"/>
          <w:szCs w:val="18"/>
        </w:rPr>
        <w:t>minimum</w:t>
      </w:r>
      <w:r>
        <w:rPr>
          <w:color w:val="201F1F"/>
          <w:sz w:val="18"/>
          <w:szCs w:val="18"/>
        </w:rPr>
        <w:t xml:space="preserve">   </w:t>
      </w:r>
      <w:r>
        <w:rPr>
          <w:color w:val="201F1F"/>
          <w:spacing w:val="-1"/>
          <w:sz w:val="18"/>
          <w:szCs w:val="18"/>
        </w:rPr>
        <w:t>distance of 5mm)</w:t>
      </w:r>
      <w:r>
        <w:rPr>
          <w:color w:val="201F1F"/>
          <w:spacing w:val="13"/>
          <w:sz w:val="18"/>
          <w:szCs w:val="18"/>
        </w:rPr>
        <w:t xml:space="preserve"> </w:t>
      </w:r>
      <w:r>
        <w:rPr>
          <w:color w:val="201F1F"/>
          <w:spacing w:val="-1"/>
          <w:sz w:val="18"/>
          <w:szCs w:val="18"/>
        </w:rPr>
        <w:t>are:</w:t>
      </w:r>
    </w:p>
    <w:tbl>
      <w:tblPr>
        <w:tblStyle w:val="5"/>
        <w:tblW w:w="6067" w:type="dxa"/>
        <w:tblInd w:w="1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0"/>
        <w:gridCol w:w="1841"/>
        <w:gridCol w:w="1706"/>
      </w:tblGrid>
      <w:tr w14:paraId="15B0B8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2520" w:type="dxa"/>
            <w:vMerge w:val="restart"/>
            <w:tcBorders>
              <w:bottom w:val="nil"/>
            </w:tcBorders>
            <w:vAlign w:val="top"/>
          </w:tcPr>
          <w:p w14:paraId="17F4940E">
            <w:pPr>
              <w:pStyle w:val="6"/>
              <w:spacing w:before="98" w:line="308" w:lineRule="auto"/>
              <w:ind w:left="132" w:right="483" w:firstLine="1"/>
            </w:pPr>
            <w:r>
              <w:rPr>
                <w:color w:val="201F1F"/>
                <w:spacing w:val="-2"/>
              </w:rPr>
              <w:t>Max SAR Value(W/kg)</w:t>
            </w:r>
            <w:r>
              <w:rPr>
                <w:color w:val="201F1F"/>
              </w:rPr>
              <w:t xml:space="preserve">    </w:t>
            </w:r>
            <w:r>
              <w:rPr>
                <w:color w:val="201F1F"/>
                <w:spacing w:val="-3"/>
              </w:rPr>
              <w:t>Limitis 2.0(W/kg) for10-g</w:t>
            </w:r>
          </w:p>
        </w:tc>
        <w:tc>
          <w:tcPr>
            <w:tcW w:w="1841" w:type="dxa"/>
            <w:vAlign w:val="top"/>
          </w:tcPr>
          <w:p w14:paraId="661B4F68">
            <w:pPr>
              <w:pStyle w:val="6"/>
              <w:spacing w:before="98" w:line="196" w:lineRule="auto"/>
              <w:ind w:left="144"/>
            </w:pPr>
            <w:r>
              <w:rPr>
                <w:color w:val="201F1F"/>
                <w:spacing w:val="-7"/>
              </w:rPr>
              <w:t>10-gHead</w:t>
            </w:r>
          </w:p>
        </w:tc>
        <w:tc>
          <w:tcPr>
            <w:tcW w:w="1706" w:type="dxa"/>
            <w:vAlign w:val="top"/>
          </w:tcPr>
          <w:p w14:paraId="36387767">
            <w:pPr>
              <w:pStyle w:val="6"/>
              <w:spacing w:before="98" w:line="194" w:lineRule="auto"/>
              <w:ind w:left="133"/>
            </w:pPr>
            <w:r>
              <w:rPr>
                <w:color w:val="201F1F"/>
                <w:spacing w:val="-4"/>
              </w:rPr>
              <w:t>0.931</w:t>
            </w:r>
          </w:p>
        </w:tc>
      </w:tr>
      <w:tr w14:paraId="5FDB73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520" w:type="dxa"/>
            <w:vMerge w:val="continue"/>
            <w:tcBorders>
              <w:top w:val="nil"/>
            </w:tcBorders>
            <w:vAlign w:val="top"/>
          </w:tcPr>
          <w:p w14:paraId="524C20DC">
            <w:pPr>
              <w:pStyle w:val="6"/>
              <w:rPr>
                <w:sz w:val="21"/>
              </w:rPr>
            </w:pPr>
          </w:p>
        </w:tc>
        <w:tc>
          <w:tcPr>
            <w:tcW w:w="1841" w:type="dxa"/>
            <w:vAlign w:val="top"/>
          </w:tcPr>
          <w:p w14:paraId="7741C1E1">
            <w:pPr>
              <w:pStyle w:val="6"/>
              <w:spacing w:before="96" w:line="196" w:lineRule="auto"/>
              <w:ind w:left="144"/>
            </w:pPr>
            <w:r>
              <w:rPr>
                <w:color w:val="201F1F"/>
                <w:spacing w:val="-7"/>
              </w:rPr>
              <w:t>10-gBody</w:t>
            </w:r>
          </w:p>
        </w:tc>
        <w:tc>
          <w:tcPr>
            <w:tcW w:w="1706" w:type="dxa"/>
            <w:vAlign w:val="top"/>
          </w:tcPr>
          <w:p w14:paraId="65489519">
            <w:pPr>
              <w:pStyle w:val="6"/>
              <w:spacing w:before="99" w:line="194" w:lineRule="auto"/>
              <w:ind w:left="145"/>
            </w:pPr>
            <w:r>
              <w:rPr>
                <w:color w:val="201F1F"/>
                <w:spacing w:val="-7"/>
              </w:rPr>
              <w:t>1.676</w:t>
            </w:r>
          </w:p>
        </w:tc>
      </w:tr>
    </w:tbl>
    <w:p w14:paraId="17A5EB99">
      <w:pPr>
        <w:pStyle w:val="2"/>
        <w:spacing w:line="346" w:lineRule="auto"/>
        <w:rPr>
          <w:sz w:val="21"/>
        </w:rPr>
      </w:pPr>
    </w:p>
    <w:p w14:paraId="75C53113">
      <w:pPr>
        <w:pStyle w:val="2"/>
        <w:spacing w:before="52" w:line="196" w:lineRule="auto"/>
        <w:ind w:left="18"/>
        <w:rPr>
          <w:sz w:val="18"/>
          <w:szCs w:val="18"/>
        </w:rPr>
      </w:pPr>
      <w:r>
        <w:rPr>
          <w:color w:val="201F1F"/>
          <w:spacing w:val="-2"/>
          <w:sz w:val="18"/>
          <w:szCs w:val="18"/>
        </w:rPr>
        <w:t>Technical file</w:t>
      </w:r>
      <w:r>
        <w:rPr>
          <w:color w:val="201F1F"/>
          <w:spacing w:val="12"/>
          <w:w w:val="101"/>
          <w:sz w:val="18"/>
          <w:szCs w:val="18"/>
        </w:rPr>
        <w:t xml:space="preserve"> </w:t>
      </w:r>
      <w:r>
        <w:rPr>
          <w:color w:val="201F1F"/>
          <w:spacing w:val="-2"/>
          <w:sz w:val="18"/>
          <w:szCs w:val="18"/>
        </w:rPr>
        <w:t>held</w:t>
      </w:r>
      <w:r>
        <w:rPr>
          <w:color w:val="201F1F"/>
          <w:spacing w:val="11"/>
          <w:sz w:val="18"/>
          <w:szCs w:val="18"/>
        </w:rPr>
        <w:t xml:space="preserve"> </w:t>
      </w:r>
      <w:r>
        <w:rPr>
          <w:color w:val="201F1F"/>
          <w:spacing w:val="-2"/>
          <w:sz w:val="18"/>
          <w:szCs w:val="18"/>
        </w:rPr>
        <w:t xml:space="preserve">by: </w:t>
      </w:r>
      <w:r>
        <w:rPr>
          <w:spacing w:val="-2"/>
          <w:sz w:val="18"/>
          <w:szCs w:val="18"/>
        </w:rPr>
        <w:t>Shenzhen</w:t>
      </w:r>
      <w:r>
        <w:rPr>
          <w:spacing w:val="14"/>
          <w:w w:val="101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Hao</w:t>
      </w:r>
      <w:r>
        <w:rPr>
          <w:spacing w:val="13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 xml:space="preserve">Mai Tongda Technology </w:t>
      </w:r>
      <w:r>
        <w:rPr>
          <w:spacing w:val="-3"/>
          <w:sz w:val="18"/>
          <w:szCs w:val="18"/>
        </w:rPr>
        <w:t>Co.,</w:t>
      </w:r>
      <w:r>
        <w:rPr>
          <w:spacing w:val="13"/>
          <w:w w:val="101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LTD</w:t>
      </w:r>
    </w:p>
    <w:p w14:paraId="20E59882">
      <w:pPr>
        <w:spacing w:before="112" w:line="235" w:lineRule="auto"/>
        <w:ind w:left="25" w:right="589" w:firstLine="8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pacing w:val="-2"/>
          <w:sz w:val="24"/>
          <w:szCs w:val="24"/>
        </w:rPr>
        <w:t>Room703,Building</w:t>
      </w:r>
      <w:r>
        <w:rPr>
          <w:rFonts w:ascii="Calibri" w:hAnsi="Calibri" w:eastAsia="Calibri" w:cs="Calibri"/>
          <w:spacing w:val="20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2"/>
          <w:sz w:val="24"/>
          <w:szCs w:val="24"/>
        </w:rPr>
        <w:t>F, Qihang</w:t>
      </w:r>
      <w:r>
        <w:rPr>
          <w:rFonts w:ascii="Calibri" w:hAnsi="Calibri" w:eastAsia="Calibri" w:cs="Calibri"/>
          <w:spacing w:val="20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2"/>
          <w:sz w:val="24"/>
          <w:szCs w:val="24"/>
        </w:rPr>
        <w:t>R&amp;D</w:t>
      </w:r>
      <w:r>
        <w:rPr>
          <w:rFonts w:ascii="Calibri" w:hAnsi="Calibri" w:eastAsia="Calibri" w:cs="Calibri"/>
          <w:spacing w:val="20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2"/>
          <w:sz w:val="24"/>
          <w:szCs w:val="24"/>
        </w:rPr>
        <w:t>Ind</w:t>
      </w:r>
      <w:r>
        <w:rPr>
          <w:rFonts w:ascii="Calibri" w:hAnsi="Calibri" w:eastAsia="Calibri" w:cs="Calibri"/>
          <w:spacing w:val="-3"/>
          <w:sz w:val="24"/>
          <w:szCs w:val="24"/>
        </w:rPr>
        <w:t>ustrial</w:t>
      </w:r>
      <w:r>
        <w:rPr>
          <w:rFonts w:ascii="Calibri" w:hAnsi="Calibri" w:eastAsia="Calibri" w:cs="Calibri"/>
          <w:spacing w:val="20"/>
          <w:w w:val="101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3"/>
          <w:sz w:val="24"/>
          <w:szCs w:val="24"/>
        </w:rPr>
        <w:t>Park,</w:t>
      </w:r>
      <w:r>
        <w:rPr>
          <w:rFonts w:ascii="Calibri" w:hAnsi="Calibri" w:eastAsia="Calibri" w:cs="Calibri"/>
          <w:spacing w:val="20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3"/>
          <w:sz w:val="24"/>
          <w:szCs w:val="24"/>
        </w:rPr>
        <w:t>No.1008,Songbai</w:t>
      </w:r>
      <w:r>
        <w:rPr>
          <w:rFonts w:ascii="Calibri" w:hAnsi="Calibri" w:eastAsia="Calibri" w:cs="Calibri"/>
          <w:spacing w:val="20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3"/>
          <w:sz w:val="24"/>
          <w:szCs w:val="24"/>
        </w:rPr>
        <w:t>Road, Sunshine</w:t>
      </w:r>
      <w:r>
        <w:rPr>
          <w:rFonts w:ascii="Calibri" w:hAnsi="Calibri" w:eastAsia="Calibri" w:cs="Calibri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Community, Xili Street,</w:t>
      </w:r>
      <w:r>
        <w:rPr>
          <w:rFonts w:ascii="Calibri" w:hAnsi="Calibri" w:eastAsia="Calibri" w:cs="Calibri"/>
          <w:spacing w:val="19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Nanshan</w:t>
      </w:r>
      <w:r>
        <w:rPr>
          <w:rFonts w:ascii="Calibri" w:hAnsi="Calibri" w:eastAsia="Calibri" w:cs="Calibri"/>
          <w:spacing w:val="20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Distric</w:t>
      </w:r>
      <w:r>
        <w:rPr>
          <w:rFonts w:ascii="Calibri" w:hAnsi="Calibri" w:eastAsia="Calibri" w:cs="Calibri"/>
          <w:spacing w:val="-2"/>
          <w:sz w:val="24"/>
          <w:szCs w:val="24"/>
        </w:rPr>
        <w:t>t, Shenzhen, China</w:t>
      </w:r>
    </w:p>
    <w:p w14:paraId="1BE7B6FE">
      <w:pPr>
        <w:pStyle w:val="2"/>
        <w:spacing w:line="339" w:lineRule="auto"/>
        <w:rPr>
          <w:sz w:val="21"/>
        </w:rPr>
      </w:pPr>
    </w:p>
    <w:p w14:paraId="6864101C">
      <w:pPr>
        <w:pStyle w:val="2"/>
        <w:spacing w:before="52" w:line="329" w:lineRule="auto"/>
        <w:ind w:left="24" w:right="2675" w:hanging="5"/>
      </w:pPr>
      <w:r>
        <w:rPr>
          <w:b/>
          <w:bCs/>
          <w:spacing w:val="-2"/>
        </w:rPr>
        <w:t>Signed for and on</w:t>
      </w:r>
      <w:r>
        <w:rPr>
          <w:b/>
          <w:bCs/>
          <w:spacing w:val="27"/>
          <w:w w:val="102"/>
        </w:rPr>
        <w:t xml:space="preserve"> </w:t>
      </w:r>
      <w:r>
        <w:rPr>
          <w:b/>
          <w:bCs/>
          <w:spacing w:val="-2"/>
        </w:rPr>
        <w:t xml:space="preserve">behalf of: </w:t>
      </w:r>
      <w:r>
        <w:rPr>
          <w:spacing w:val="-2"/>
          <w:sz w:val="18"/>
          <w:szCs w:val="18"/>
        </w:rPr>
        <w:t>Shenzhen</w:t>
      </w:r>
      <w:r>
        <w:rPr>
          <w:spacing w:val="14"/>
          <w:w w:val="101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Hao</w:t>
      </w:r>
      <w:r>
        <w:rPr>
          <w:spacing w:val="13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Mai Tongda Technology Co.,</w:t>
      </w:r>
      <w:r>
        <w:rPr>
          <w:spacing w:val="14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LTD</w:t>
      </w:r>
      <w:r>
        <w:rPr>
          <w:sz w:val="18"/>
          <w:szCs w:val="18"/>
        </w:rPr>
        <w:t xml:space="preserve"> </w:t>
      </w:r>
      <w:r>
        <w:rPr>
          <w:b/>
          <w:bCs/>
          <w:spacing w:val="-1"/>
        </w:rPr>
        <w:t xml:space="preserve">Name and Title:          </w:t>
      </w:r>
      <w:r>
        <w:rPr>
          <w:spacing w:val="-1"/>
          <w:sz w:val="18"/>
          <w:szCs w:val="18"/>
        </w:rPr>
        <w:t xml:space="preserve">Chen Yong </w:t>
      </w:r>
      <w:r>
        <w:rPr>
          <w:spacing w:val="-1"/>
        </w:rPr>
        <w:t>/Manager</w:t>
      </w:r>
    </w:p>
    <w:p w14:paraId="5540B74D">
      <w:pPr>
        <w:pStyle w:val="2"/>
        <w:spacing w:before="25" w:line="214" w:lineRule="auto"/>
        <w:jc w:val="right"/>
        <w:rPr>
          <w:rFonts w:ascii="Calibri" w:hAnsi="Calibri" w:eastAsia="Calibri" w:cs="Calibri"/>
          <w:sz w:val="24"/>
          <w:szCs w:val="24"/>
        </w:rPr>
      </w:pPr>
      <w:r>
        <w:rPr>
          <w:b/>
          <w:bCs/>
          <w:spacing w:val="-2"/>
          <w:position w:val="2"/>
        </w:rPr>
        <w:t xml:space="preserve">Address:                      </w:t>
      </w:r>
      <w:r>
        <w:rPr>
          <w:rFonts w:ascii="Calibri" w:hAnsi="Calibri" w:eastAsia="Calibri" w:cs="Calibri"/>
          <w:spacing w:val="-2"/>
          <w:sz w:val="24"/>
          <w:szCs w:val="24"/>
        </w:rPr>
        <w:t>Room703,Building</w:t>
      </w:r>
      <w:r>
        <w:rPr>
          <w:rFonts w:ascii="Calibri" w:hAnsi="Calibri" w:eastAsia="Calibri" w:cs="Calibri"/>
          <w:spacing w:val="21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2"/>
          <w:sz w:val="24"/>
          <w:szCs w:val="24"/>
        </w:rPr>
        <w:t>F, Qihang</w:t>
      </w:r>
      <w:r>
        <w:rPr>
          <w:rFonts w:ascii="Calibri" w:hAnsi="Calibri" w:eastAsia="Calibri" w:cs="Calibri"/>
          <w:spacing w:val="20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2"/>
          <w:sz w:val="24"/>
          <w:szCs w:val="24"/>
        </w:rPr>
        <w:t>R&amp;D</w:t>
      </w:r>
      <w:r>
        <w:rPr>
          <w:rFonts w:ascii="Calibri" w:hAnsi="Calibri" w:eastAsia="Calibri" w:cs="Calibri"/>
          <w:spacing w:val="20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2"/>
          <w:sz w:val="24"/>
          <w:szCs w:val="24"/>
        </w:rPr>
        <w:t>Industrial</w:t>
      </w:r>
      <w:r>
        <w:rPr>
          <w:rFonts w:ascii="Calibri" w:hAnsi="Calibri" w:eastAsia="Calibri" w:cs="Calibri"/>
          <w:spacing w:val="20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2"/>
          <w:sz w:val="24"/>
          <w:szCs w:val="24"/>
        </w:rPr>
        <w:t>Park,</w:t>
      </w:r>
      <w:r>
        <w:rPr>
          <w:rFonts w:ascii="Calibri" w:hAnsi="Calibri" w:eastAsia="Calibri" w:cs="Calibri"/>
          <w:spacing w:val="20"/>
          <w:w w:val="101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3"/>
          <w:sz w:val="24"/>
          <w:szCs w:val="24"/>
        </w:rPr>
        <w:t>No.1008,Songbai</w:t>
      </w:r>
      <w:r>
        <w:rPr>
          <w:rFonts w:ascii="Calibri" w:hAnsi="Calibri" w:eastAsia="Calibri" w:cs="Calibri"/>
          <w:spacing w:val="20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3"/>
          <w:sz w:val="24"/>
          <w:szCs w:val="24"/>
        </w:rPr>
        <w:t>Road,</w:t>
      </w:r>
    </w:p>
    <w:p w14:paraId="2C2567B9">
      <w:pPr>
        <w:spacing w:before="51" w:line="214" w:lineRule="auto"/>
        <w:ind w:left="1549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pacing w:val="-1"/>
          <w:sz w:val="24"/>
          <w:szCs w:val="24"/>
        </w:rPr>
        <w:t>Sunshine Community, Xili Street,</w:t>
      </w:r>
      <w:r>
        <w:rPr>
          <w:rFonts w:ascii="Calibri" w:hAnsi="Calibri" w:eastAsia="Calibri" w:cs="Calibri"/>
          <w:spacing w:val="20"/>
          <w:w w:val="101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Nanshan</w:t>
      </w:r>
      <w:r>
        <w:rPr>
          <w:rFonts w:ascii="Calibri" w:hAnsi="Calibri" w:eastAsia="Calibri" w:cs="Calibri"/>
          <w:spacing w:val="20"/>
          <w:sz w:val="24"/>
          <w:szCs w:val="24"/>
        </w:rPr>
        <w:t xml:space="preserve"> </w:t>
      </w:r>
      <w:r>
        <w:rPr>
          <w:rFonts w:ascii="Calibri" w:hAnsi="Calibri" w:eastAsia="Calibri" w:cs="Calibri"/>
          <w:spacing w:val="-1"/>
          <w:sz w:val="24"/>
          <w:szCs w:val="24"/>
        </w:rPr>
        <w:t>District, Shenz</w:t>
      </w:r>
      <w:r>
        <w:rPr>
          <w:rFonts w:ascii="Calibri" w:hAnsi="Calibri" w:eastAsia="Calibri" w:cs="Calibri"/>
          <w:spacing w:val="-2"/>
          <w:sz w:val="24"/>
          <w:szCs w:val="24"/>
        </w:rPr>
        <w:t>hen, China</w:t>
      </w:r>
    </w:p>
    <w:p w14:paraId="44082EDA">
      <w:pPr>
        <w:pStyle w:val="2"/>
        <w:spacing w:line="346" w:lineRule="auto"/>
        <w:rPr>
          <w:sz w:val="21"/>
        </w:rPr>
      </w:pPr>
    </w:p>
    <w:p w14:paraId="0F62CC14">
      <w:pPr>
        <w:pStyle w:val="2"/>
        <w:spacing w:line="347" w:lineRule="auto"/>
        <w:rPr>
          <w:sz w:val="21"/>
        </w:rPr>
      </w:pPr>
    </w:p>
    <w:p w14:paraId="0C903332">
      <w:pPr>
        <w:spacing w:before="1" w:line="1086" w:lineRule="exact"/>
        <w:ind w:firstLine="6034"/>
      </w:pPr>
      <w:r>
        <w:rPr>
          <w:position w:val="-21"/>
        </w:rPr>
        <w:drawing>
          <wp:inline distT="0" distB="0" distL="0" distR="0">
            <wp:extent cx="1450975" cy="68897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1609" cy="689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141067">
      <w:pPr>
        <w:pStyle w:val="2"/>
        <w:spacing w:before="161" w:line="290" w:lineRule="auto"/>
        <w:ind w:left="7303" w:right="282" w:hanging="1752"/>
        <w:rPr>
          <w:sz w:val="20"/>
          <w:szCs w:val="20"/>
        </w:rPr>
      </w:pPr>
      <w:r>
        <w:rPr>
          <w:spacing w:val="-1"/>
          <w:sz w:val="20"/>
          <w:szCs w:val="20"/>
        </w:rPr>
        <w:t>Signature of Authorized</w:t>
      </w:r>
      <w:r>
        <w:rPr>
          <w:spacing w:val="19"/>
          <w:w w:val="101"/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Person</w:t>
      </w:r>
      <w:r>
        <w:rPr>
          <w:sz w:val="20"/>
          <w:szCs w:val="20"/>
        </w:rPr>
        <w:t xml:space="preserve"> </w:t>
      </w:r>
      <w:r>
        <w:rPr>
          <w:spacing w:val="-1"/>
          <w:sz w:val="20"/>
          <w:szCs w:val="20"/>
        </w:rPr>
        <w:t>2024-08-26</w:t>
      </w:r>
    </w:p>
    <w:sectPr>
      <w:pgSz w:w="11907" w:h="16839"/>
      <w:pgMar w:top="1431" w:right="151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zA2YjMyNTBiZWZhNDBlMjViMGE1OThjOGE5YmIzZTUifQ=="/>
  </w:docVars>
  <w:rsids>
    <w:rsidRoot w:val="00000000"/>
    <w:rsid w:val="12622A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15"/>
      <w:szCs w:val="15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493</Words>
  <Characters>3279</Characters>
  <TotalTime>0</TotalTime>
  <ScaleCrop>false</ScaleCrop>
  <LinksUpToDate>false</LinksUpToDate>
  <CharactersWithSpaces>3737</CharactersWithSpaces>
  <Application>WPS Office_12.1.0.17857_F1E327BC-269C-435d-A152-05C5408002CA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2024-08-26T07:01:00Z</dcterms:created>
  <dc:creator>ntek205</dc:creator>
  <cp:lastModifiedBy>陈伟纯</cp:lastModifiedBy>
  <dcterms:modified xsi:type="dcterms:W3CDTF">2024-08-30T02:13:07Z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2024-08-30T10:12:05Z</vt:filetime>
  </property>
  <property fmtid="{D5CDD505-2E9C-101B-9397-08002B2CF9AE}" pid="4" name="KSOProductBuildVer">
    <vt:lpwstr>2052-12.1.0.17857</vt:lpwstr>
  </property>
  <property fmtid="{D5CDD505-2E9C-101B-9397-08002B2CF9AE}" pid="5" name="ICV">
    <vt:lpwstr>985336978E6F4A84AFD942019EF74497_12</vt:lpwstr>
  </property>
</Properties>
</file>